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№ 5-70-</w:t>
      </w:r>
      <w:r>
        <w:rPr>
          <w:rFonts w:ascii="Times New Roman" w:eastAsia="Times New Roman" w:hAnsi="Times New Roman" w:cs="Times New Roman"/>
          <w:sz w:val="26"/>
          <w:rtl w:val="0"/>
        </w:rPr>
        <w:t>19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</w:p>
    <w:p>
      <w:pPr>
        <w:bidi w:val="0"/>
        <w:spacing w:before="0" w:beforeAutospacing="0" w:after="0" w:afterAutospacing="0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 91MS0070-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Е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70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и: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Bookman Old Style" w:eastAsia="Bookman Old Style" w:hAnsi="Bookman Old Style" w:cs="Bookman Old Style"/>
          <w:sz w:val="26"/>
          <w:rtl w:val="0"/>
        </w:rPr>
        <w:t xml:space="preserve">, </w:t>
      </w:r>
      <w:r>
        <w:rPr>
          <w:rFonts w:ascii="Bookman Old Style" w:eastAsia="Bookman Old Style" w:hAnsi="Bookman Old Style" w:cs="Bookman Old Style"/>
          <w:sz w:val="26"/>
          <w:rtl w:val="0"/>
        </w:rPr>
        <w:t>паспортные данные</w:t>
      </w:r>
      <w:r>
        <w:rPr>
          <w:rFonts w:ascii="Bookman Old Style" w:eastAsia="Bookman Old Style" w:hAnsi="Bookman Old Style" w:cs="Bookman Old Style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Bookman Old Style" w:eastAsia="Bookman Old Style" w:hAnsi="Bookman Old Style" w:cs="Bookman Old Style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Bookman Old Style" w:eastAsia="Bookman Old Style" w:hAnsi="Bookman Old Style" w:cs="Bookman Old Style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Bookman Old Style" w:eastAsia="Bookman Old Style" w:hAnsi="Bookman Old Style" w:cs="Bookman Old Style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Bookman Old Style" w:eastAsia="Bookman Old Style" w:hAnsi="Bookman Old Style" w:cs="Bookman Old Style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Bookman Old Style" w:eastAsia="Bookman Old Style" w:hAnsi="Bookman Old Style" w:cs="Bookman Old Style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16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х (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–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Ф),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32.2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–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70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№ 5-70-15/2024,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т. 12.26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в,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в.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и: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8201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6"/>
          <w:rtl w:val="0"/>
        </w:rPr>
        <w:t>5/25/82020-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ъ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т,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70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5-70-15/2024,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т. 12.26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Ф,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т,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32.2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у,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1.1, 1.3 - 1.3-3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1.4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31.5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 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60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й,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а,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м.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а,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к,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 xml:space="preserve">ч. 1 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т.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й,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2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4.1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е,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4.2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в,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м.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а,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20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т. 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я,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 20 (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ь)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в.</w:t>
      </w:r>
    </w:p>
    <w:p>
      <w:pPr>
        <w:keepNext/>
        <w:keepLines/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ъ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4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к.</w:t>
      </w:r>
    </w:p>
    <w:p>
      <w:pPr>
        <w:keepNext/>
        <w:keepLines/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ю.</w:t>
      </w:r>
    </w:p>
    <w:p>
      <w:pPr>
        <w:keepNext/>
        <w:keepLines/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3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