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67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УЗ 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привлекавшийся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2715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</w:t>
      </w:r>
      <w:r>
        <w:rPr>
          <w:rFonts w:ascii="Times New Roman" w:eastAsia="Times New Roman" w:hAnsi="Times New Roman" w:cs="Times New Roman"/>
          <w:sz w:val="24"/>
          <w:rtl w:val="0"/>
        </w:rPr>
        <w:t>учетам СООП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рапортом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протоколом 8209 № 045431 о доставлении лица совершившего административное правонарушение, протоколом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019901.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отягчающим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ареста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назначить ему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одни</w:t>
      </w:r>
      <w:r>
        <w:rPr>
          <w:rFonts w:ascii="Times New Roman" w:eastAsia="Times New Roman" w:hAnsi="Times New Roman" w:cs="Times New Roman"/>
          <w:sz w:val="24"/>
          <w:rtl w:val="0"/>
        </w:rPr>
        <w:t>) сут</w:t>
      </w:r>
      <w:r>
        <w:rPr>
          <w:rFonts w:ascii="Times New Roman" w:eastAsia="Times New Roman" w:hAnsi="Times New Roman" w:cs="Times New Roman"/>
          <w:sz w:val="24"/>
          <w:rtl w:val="0"/>
        </w:rPr>
        <w:t>ки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срок наказания зачесть время административного задержания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считать наказание отбытым.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