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89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Федеральной миграционной службой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>не трудоустроенной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имеющей на иждивении несовершеннолетнего ребенка, инвалидом не являющейся</w:t>
      </w:r>
      <w:r>
        <w:rPr>
          <w:rFonts w:ascii="Times New Roman" w:eastAsia="Times New Roman" w:hAnsi="Times New Roman" w:cs="Times New Roman"/>
          <w:sz w:val="24"/>
          <w:rtl w:val="0"/>
        </w:rPr>
        <w:t>, зар</w:t>
      </w:r>
      <w:r>
        <w:rPr>
          <w:rFonts w:ascii="Times New Roman" w:eastAsia="Times New Roman" w:hAnsi="Times New Roman" w:cs="Times New Roman"/>
          <w:sz w:val="24"/>
          <w:rtl w:val="0"/>
        </w:rPr>
        <w:t>егистрированной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проживающей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привлекавшейся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Е.А.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>ч.1 ст.20.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0410760300705000892620126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