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121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гражданина </w:t>
      </w:r>
      <w:r>
        <w:rPr>
          <w:rFonts w:ascii="Times New Roman" w:eastAsia="Times New Roman" w:hAnsi="Times New Roman" w:cs="Times New Roman"/>
          <w:sz w:val="24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среднее образование (со слов), не женатого,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не имеющего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 за однородные правонарушения,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вблизи дома 95А,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выявлен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который находился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общественном месте в </w:t>
      </w:r>
      <w:r>
        <w:rPr>
          <w:rFonts w:ascii="Times New Roman" w:eastAsia="Times New Roman" w:hAnsi="Times New Roman" w:cs="Times New Roman"/>
          <w:sz w:val="24"/>
          <w:rtl w:val="0"/>
        </w:rPr>
        <w:t>состоянии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алкогольного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опьянения, имел неопрятный внешний вид,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шаткую походку, запах спиртного из полости рта, невнятную речь,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чем оскорблял человеческое достоинство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общественную нравственность,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ответственность за данное правонарушение предусмотрена ст. </w:t>
      </w:r>
      <w:r>
        <w:rPr>
          <w:rFonts w:ascii="Times New Roman" w:eastAsia="Times New Roman" w:hAnsi="Times New Roman" w:cs="Times New Roman"/>
          <w:sz w:val="24"/>
          <w:rtl w:val="0"/>
        </w:rPr>
        <w:t>20.2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свою вину в совершении данного административного правонарушения полностью признал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удья, выслушав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Виновность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</w:t>
      </w:r>
      <w:r>
        <w:rPr>
          <w:rFonts w:ascii="Times New Roman" w:eastAsia="Times New Roman" w:hAnsi="Times New Roman" w:cs="Times New Roman"/>
          <w:sz w:val="24"/>
          <w:rtl w:val="0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3546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8212 № </w:t>
      </w:r>
      <w:r>
        <w:rPr>
          <w:rFonts w:ascii="Times New Roman" w:eastAsia="Times New Roman" w:hAnsi="Times New Roman" w:cs="Times New Roman"/>
          <w:sz w:val="24"/>
          <w:rtl w:val="0"/>
        </w:rPr>
        <w:t>050430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направлении на медицинское освидетельствование на состояние опьянения;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8210 № </w:t>
      </w:r>
      <w:r>
        <w:rPr>
          <w:rFonts w:ascii="Times New Roman" w:eastAsia="Times New Roman" w:hAnsi="Times New Roman" w:cs="Times New Roman"/>
          <w:sz w:val="24"/>
          <w:rtl w:val="0"/>
        </w:rPr>
        <w:t>027809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задержании;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117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судьей квалифицируются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т.е.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появление на улицах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 совершение однородного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признает раскаяние в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совокупность вышеизложенных обстоятельств, характер вменяемого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личность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суд приходит к убеждению,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что цели нака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могут быть достигнуты при назначении наказания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пределах санкции вменяемой статьи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ст.ст.29.9,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УИН: 0410760300705001212620187.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