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316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рассмотрев дело об административном правонарушении, поступившее из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в отношении должностного лица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генерального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директора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Рагима оглы,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Нахичеванской АР Азербайджан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граждан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ина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Российской Федерации (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), ранее не привлекаемо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к административ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ной ответственности, проживающего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привлекаемо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к административн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ой ответственности по ч. 2 ст. 15.33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вонарушениях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о.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являясь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генеральным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директор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ом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расположенно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нарушил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ст. 24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Федерального закона № 125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а именно: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несвоевременно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202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5года, чем нарушил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установленный законодательством срок для предоставления отчетности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то есть не позднее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В судебное заседание должностное лицо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о.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не явил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. О дне, времени и месте рассмотрения дела об административном правонарушении извещен надлежащим образом,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что подтверждается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телефонограммой, имеющейся в материалах дела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ричина неявки суду неизвестна. Ходатайств об отложении дела в суд не поступало.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Согласно ст.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Руководствуясь положением ст. 25.1 КоАП РФ, принимая во внимание, что должностное лицо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о.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о.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ч. 2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ст. 15.33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сийской Федерации об административных правонарушениях установлена административная ответс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Часть 2 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тать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15.33 КоАП РФ предусматривает ответственность за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Согласно ч. 1 ст. 24 Федерального закона № 125 «Об обязательном социальном страховании от несчастных случаев на производстве и профессиональных заболеваний» (в редакции, действующей на момент совершения административного правонарушения)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страхователи в установленном порядке осуществляют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u w:val="single"/>
            <w:rtl w:val="0"/>
          </w:rPr>
          <w:t>учет</w:t>
        </w:r>
      </w:hyperlink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hyperlink r:id="rId5" w:anchor="dst100015" w:history="1"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u w:val="single"/>
            <w:rtl w:val="0"/>
          </w:rPr>
          <w:t>формы</w:t>
        </w:r>
      </w:hyperlink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сведений, предусмотренной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hyperlink r:id="rId6" w:anchor="dst100079" w:history="1"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u w:val="single"/>
            <w:rtl w:val="0"/>
          </w:rPr>
          <w:t>статьей 8</w:t>
        </w:r>
      </w:hyperlink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Виновность должностного лица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о.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в совершении административного правонарушения, предусмотренного ч. 2 ст. 15.33 КоАП РФ подтверждается письменными материалами дела, а именно: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1022779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; сведениями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аний (ЕФС-1)») за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и скрин-копия регистрации Сведений по форме ЕФС-1 из компонента «Фронт-Офис» АИС ПФР-2; уведомлением о регистрации юридического лица в территориальном органе СФР; выпиской из ЕГРЮЛ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о.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правильно квалифицированы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т. 15.33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как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 назначении административного наказания суд учитыв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 характер совершенного административного правонарушения, личность виновного, его имущ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имущественное положение,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пришел к выводу о возможности назнач</w:t>
      </w:r>
      <w:r>
        <w:rPr>
          <w:rFonts w:ascii="Times New Roman" w:eastAsia="Times New Roman" w:hAnsi="Times New Roman" w:cs="Times New Roman"/>
          <w:sz w:val="24"/>
          <w:rtl w:val="0"/>
        </w:rPr>
        <w:t>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штрафа в нижнем пределе санкции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4"/>
          <w:rtl w:val="0"/>
        </w:rPr>
        <w:t>ст. 15.33 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4"/>
          <w:rtl w:val="0"/>
        </w:rPr>
        <w:t>основании изложенного, рук</w:t>
      </w:r>
      <w:r>
        <w:rPr>
          <w:rFonts w:ascii="Times New Roman" w:eastAsia="Times New Roman" w:hAnsi="Times New Roman" w:cs="Times New Roman"/>
          <w:sz w:val="24"/>
          <w:rtl w:val="0"/>
        </w:rPr>
        <w:t>оводствуясь ст. ст. 29.9, 29.10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Должностное лицо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генерального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директора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Рагима оглы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признать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правонарушения, ответственность за которое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предусмотрена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15.</w:t>
      </w:r>
      <w:r>
        <w:rPr>
          <w:rFonts w:ascii="Times New Roman" w:eastAsia="Times New Roman" w:hAnsi="Times New Roman" w:cs="Times New Roman"/>
          <w:sz w:val="24"/>
          <w:rtl w:val="0"/>
        </w:rPr>
        <w:t>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 </w:t>
      </w:r>
      <w:r>
        <w:rPr>
          <w:rFonts w:ascii="Times New Roman" w:eastAsia="Times New Roman" w:hAnsi="Times New Roman" w:cs="Times New Roman"/>
          <w:sz w:val="24"/>
          <w:rtl w:val="0"/>
        </w:rPr>
        <w:t>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л/с 04754Ф75010)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Корреспондентский счет: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Номер казначейского счета: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Банк получателя: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УИН: 797</w:t>
      </w:r>
      <w:r>
        <w:rPr>
          <w:rFonts w:ascii="Times New Roman" w:eastAsia="Times New Roman" w:hAnsi="Times New Roman" w:cs="Times New Roman"/>
          <w:sz w:val="24"/>
          <w:rtl w:val="0"/>
        </w:rPr>
        <w:t>91031609250067008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ОКТМО: 35701000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КБК (штраф) -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1 ст. 32.2 КоАП РФ 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984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9559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s://www.consultant.ru/document/cons_doc_LAW_502642/ebf5dddb0d5fcdf25d19cbc40c405fc254be2f76/" TargetMode="External" /><Relationship Id="rId8" Type="http://schemas.openxmlformats.org/officeDocument/2006/relationships/hyperlink" Target="https://www.consultant.ru/document/cons_doc_LAW_502642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