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910707649305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зарегистрированный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8"/>
          <w:rtl w:val="0"/>
        </w:rPr>
        <w:t>о времени и месте рассмотрения дела извещен надлежаще, ходатайств об отложении судебного заседания от него не поступало, явка обязательной судом не признана, в связи с чем на основании ч. 2 ст. 25.1 КоАП РФ,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выписки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5, 6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494</w:t>
      </w:r>
      <w:r>
        <w:rPr>
          <w:rFonts w:ascii="Times New Roman" w:eastAsia="Times New Roman" w:hAnsi="Times New Roman" w:cs="Times New Roman"/>
          <w:sz w:val="28"/>
          <w:rtl w:val="0"/>
        </w:rPr>
        <w:t>645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смягчающим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ст. 4.2 КоАП РФ судом признается признание вины, раскаяние в содеянном.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в соответствии со ст. 4.3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3.4 КоАП РФ, в момент совершения нарушения отсутствовала,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административного правонарушения, ответственность за которое предусмотрена ч. 2 ст. 15.33 КоАП РФ,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