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0582250514212085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18810582250514212085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03392520118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