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-3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 делу об административном правонарушении</w:t>
      </w:r>
    </w:p>
    <w:p>
      <w:pPr>
        <w:keepNext/>
        <w:bidi w:val="0"/>
        <w:spacing w:before="0" w:beforeAutospacing="0" w:after="0" w:afterAutospacing="0"/>
        <w:ind w:left="0" w:right="0" w:firstLine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рассмотрев дело об административном правонарушении,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ГУ 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его к административной ответственности за правонарушение, предусмотренное частью 1 статьи </w:t>
      </w:r>
      <w:r>
        <w:rPr>
          <w:rFonts w:ascii="Times New Roman" w:eastAsia="Times New Roman" w:hAnsi="Times New Roman" w:cs="Times New Roman"/>
          <w:sz w:val="24"/>
          <w:rtl w:val="0"/>
        </w:rPr>
        <w:t>12.34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Должностное лицо –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будучи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ответственным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на производстве дорожных работ допустил нарушени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я, а именно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не выполнил требования по обеспечению безопасности дорожного движения при содержании дорог в нарушении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. 1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4-15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движения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№1090,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выра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зившиеся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отсутствии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на листе производства работ необходимой дорожно-знаковой информации в соответствии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с требованиями ГОСТ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ГОСТ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ОДМ 218.6.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чем совершил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частью 1 статьи 12.34 Кодекса Российской Федерации об административных правонарушениях (Далее-КоАП РФ).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старшим государственным инспектором дорожного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надзора отдела 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«Сакский» старши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лейтенант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 АП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313565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явился, о месте и времени рассмотрения дела уведомлен надлежащим образом,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Телефонограммой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Не о</w:t>
      </w:r>
      <w:r>
        <w:rPr>
          <w:rFonts w:ascii="Times New Roman" w:eastAsia="Times New Roman" w:hAnsi="Times New Roman" w:cs="Times New Roman"/>
          <w:sz w:val="24"/>
          <w:rtl w:val="0"/>
        </w:rPr>
        <w:t>беспечил явку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уполномоченного защитника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Материалы дела содержат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ходатайство о рассмотрении дела в его отсутствии и согласие с нарушением.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</w:t>
      </w:r>
      <w:r>
        <w:rPr>
          <w:rFonts w:ascii="Times New Roman" w:eastAsia="Times New Roman" w:hAnsi="Times New Roman" w:cs="Times New Roman"/>
          <w:sz w:val="24"/>
          <w:rtl w:val="0"/>
        </w:rPr>
        <w:t>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связи и доставки,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</w:t>
      </w:r>
      <w:r>
        <w:rPr>
          <w:rFonts w:ascii="Times New Roman" w:eastAsia="Times New Roman" w:hAnsi="Times New Roman" w:cs="Times New Roman"/>
          <w:sz w:val="24"/>
          <w:rtl w:val="0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</w:t>
      </w:r>
      <w:r>
        <w:rPr>
          <w:rFonts w:ascii="Times New Roman" w:eastAsia="Times New Roman" w:hAnsi="Times New Roman" w:cs="Times New Roman"/>
          <w:sz w:val="24"/>
          <w:rtl w:val="0"/>
        </w:rPr>
        <w:t>наличие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ходатайства рассмотрения дела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отсутствие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состава правонарушения, предусмотренного частью 1 статьи 12.34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 положений ст.2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196-ФЗ «О безопасности дорожного движения» следует, что под безопасностью дорожного движения понимается состояние дорожного движения, отражающее степень защищенности его участников от дорожно-транспортных происшествий и их последствий.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Статьей 4 названного Закона установлено, что законодательство Российской Федерации о безопасности дорожного движения состоит из настоящего Федерального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Пунктом 2 статьи 12 </w:t>
      </w:r>
      <w:r>
        <w:rPr>
          <w:rFonts w:ascii="Times New Roman" w:eastAsia="Times New Roman" w:hAnsi="Times New Roman" w:cs="Times New Roman"/>
          <w:sz w:val="24"/>
          <w:rtl w:val="0"/>
        </w:rPr>
        <w:t>названного Закона установлено, что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п.12 ст.3 вышеуказанного закона содержание автомобильной дороги представляет собой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ч.1 ст.17 названного Федерального закона содержание автомобильных дорог осуществляется в соответствии с требованиями технических регламентов в целях </w:t>
      </w:r>
      <w:r>
        <w:rPr>
          <w:rFonts w:ascii="Times New Roman" w:eastAsia="Times New Roman" w:hAnsi="Times New Roman" w:cs="Times New Roman"/>
          <w:sz w:val="24"/>
          <w:rtl w:val="0"/>
        </w:rPr>
        <w:t>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требованиям </w:t>
      </w:r>
      <w:r>
        <w:rPr>
          <w:rFonts w:ascii="Times New Roman" w:eastAsia="Times New Roman" w:hAnsi="Times New Roman" w:cs="Times New Roman"/>
          <w:sz w:val="24"/>
          <w:rtl w:val="0"/>
        </w:rPr>
        <w:t>пп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14-15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№1090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безопасность движения в местах проведения работ.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Соответствующие должностные и иные лица в случаях, предусмотренных действующим законодательством, в установленном порядке согласовывают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проекты строительства, реконструкции и ремонта дорог, дорожных сооружений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4.2 «ГОСТ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. Национальный стандарт Российской Федерации. 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 о</w:t>
      </w:r>
      <w:r>
        <w:rPr>
          <w:rFonts w:ascii="Times New Roman" w:eastAsia="Times New Roman" w:hAnsi="Times New Roman" w:cs="Times New Roman"/>
          <w:sz w:val="24"/>
          <w:rtl w:val="0"/>
        </w:rPr>
        <w:t>бустройство зоны работ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осуществляют непосредственно перед началом работ в следующем порядке: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информационные щиты и динамические информационные табло; дорожные знаки;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дорожные светофоры; дорожная разметка; ограждающие устройства; направляющие устройства.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положениям п.</w:t>
      </w:r>
      <w:r>
        <w:rPr>
          <w:rFonts w:ascii="Times New Roman" w:eastAsia="Times New Roman" w:hAnsi="Times New Roman" w:cs="Times New Roman"/>
          <w:sz w:val="24"/>
          <w:rtl w:val="0"/>
        </w:rPr>
        <w:t>4.1.5</w:t>
      </w:r>
      <w:r>
        <w:rPr>
          <w:rFonts w:ascii="Times New Roman" w:eastAsia="Times New Roman" w:hAnsi="Times New Roman" w:cs="Times New Roman"/>
          <w:sz w:val="24"/>
          <w:rtl w:val="0"/>
        </w:rPr>
        <w:t>, 4.2.1, 4.2.4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4.4.1.2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«Отраслевой дорожный методический документ рекомендации по организации движения и ограждению мест производства дорожных работ»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218.6.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4"/>
          <w:rtl w:val="0"/>
        </w:rPr>
        <w:t>ри строительстве, реконструкции, капитальном ремонте, ремонте и содержании автомобильных дорог (далее - дорог), независимо от форм их собственности, для обустройства мест производства работ используются: временные дорожные знаки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Производство работ начинается </w:t>
      </w:r>
      <w:r>
        <w:rPr>
          <w:rFonts w:ascii="Times New Roman" w:eastAsia="Times New Roman" w:hAnsi="Times New Roman" w:cs="Times New Roman"/>
          <w:sz w:val="24"/>
          <w:rtl w:val="0"/>
        </w:rPr>
        <w:t>организацией-исполнителем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наличии утвержденной и согласованной в порядке, предусмотренном подразделом 4.4.2, схемы организации движения и ограждения места производства дорожных работ.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Уполномоченными лицами организации-исполнителя ежедневно перед началом и во время проведения работ, а также после окончания рабочей смены проверяется наличие и состояние технических средств организации дорожного движения, ограждающих и направляющих устройств, предусмотренных схемой организации движения и ограждения мест производства работ, соответствие видимости дорожных знаков и светофоров требованиям ГОСТ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52289, </w:t>
      </w:r>
      <w:r>
        <w:rPr>
          <w:rFonts w:ascii="Times New Roman" w:eastAsia="Times New Roman" w:hAnsi="Times New Roman" w:cs="Times New Roman"/>
          <w:sz w:val="24"/>
          <w:rtl w:val="0"/>
        </w:rPr>
        <w:t>световозвращателей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ГОСТ Р 50597. При необходимости заменяются пришедшие в негодность, в том числе по причине несоответствия светотехнических характеристик знаков и разметки ГОСТ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50597, конусов и пластин - ГОСТ 32758, или устанавливаются отсутствующие средства организации дорожного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схеме указываются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временные дорожные знаки (с привязкой), светофоры, существующая и временная дорожная разметка, ограждающие и направляющие устройства, сигнальные фонари, расположение машин и механизм</w:t>
      </w:r>
      <w:r>
        <w:rPr>
          <w:rFonts w:ascii="Times New Roman" w:eastAsia="Times New Roman" w:hAnsi="Times New Roman" w:cs="Times New Roman"/>
          <w:sz w:val="24"/>
          <w:rtl w:val="0"/>
        </w:rPr>
        <w:t>ов, другие технические средства.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На основании решения Верховного суда Российской Федерации №45- АД16-13 от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и исходя из положений приведенных норм и пункта 13 Основных положений, субъектами административного правонарушения, предусмотренных ст. 12.34 КоАП РФ, являются должностные и иные лица, ответственные за состояние дорог и дорожных сооружений. Указанная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должностное или юридическое лицо, ответственное за состояние дорог и дорожных сооружений.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положений по допуску транспортных средств к эксплуатации и обязанности должностных лиц по обеспечению безопасности дорожного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движении, утвержденных постановлением Совета Министров Правительства Российской федерации от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№ 1090,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должностные и иные лица, ответственные за состояние дорог, железнодорожных переездов и других дорожных сооружений, обязаны: </w:t>
      </w:r>
      <w:r>
        <w:rPr>
          <w:rFonts w:ascii="Times New Roman" w:eastAsia="Times New Roman" w:hAnsi="Times New Roman" w:cs="Times New Roman"/>
          <w:sz w:val="24"/>
          <w:rtl w:val="0"/>
        </w:rPr>
        <w:t>содержать дороги, железнодорожные переезды и другие дорожные сооружения в безопасном для движения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 </w:t>
      </w:r>
    </w:p>
    <w:p>
      <w:pPr>
        <w:widowControl w:val="0"/>
        <w:bidi w:val="0"/>
        <w:spacing w:before="0" w:beforeAutospacing="0" w:after="0" w:afterAutospacing="0"/>
        <w:ind w:left="40" w:right="40" w:firstLine="5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2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pacing w:val="2"/>
          <w:sz w:val="24"/>
          <w:rtl w:val="0"/>
        </w:rPr>
        <w:t>ировым судьей установлено, что</w:t>
      </w:r>
      <w:r>
        <w:rPr>
          <w:rFonts w:ascii="Times New Roman" w:eastAsia="Times New Roman" w:hAnsi="Times New Roman" w:cs="Times New Roman"/>
          <w:spacing w:val="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Должностное лицо – начальник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будучи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ответственным на производстве дорожных работ допустил нарушения, а именно не выполнил требования по обеспечению безопасности дорожного движения при содержании дорог в 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пп</w:t>
      </w:r>
      <w:r>
        <w:rPr>
          <w:rFonts w:ascii="Times New Roman" w:eastAsia="Times New Roman" w:hAnsi="Times New Roman" w:cs="Times New Roman"/>
          <w:sz w:val="24"/>
          <w:rtl w:val="0"/>
        </w:rPr>
        <w:t>. 14-15 Основных положений по допуску транспортных средств к эксплуатации и обязанности должностных лиц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обеспечению безопасности дорожного движения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№1090, выразившиеся в отсутствии на листе производства работ необходимой дорожно-знаковой информации в соответствии с требованиями ГОСТ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ОДМ 218.6.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совершил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 ст. 12.34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АП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313565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начальника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решением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проведении постоянного рейда при осуществлении федерального государственного контроля (надзора) в области безопасности дорожного движения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>видеофиксацией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допущенных нарушений, а именно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 необходимых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дорожных знаков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местах проведения работ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Акта о проведении постоянного рейда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3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РФ «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 ОГИБДД на объекте контроля: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проведение дорожных работ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приказа № 15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назначении ответственных щ\за производство работ; копией должностной инструкции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утвержденной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директором предприятия;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предписания МВД РФ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 № 1/3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устранении выявленных нарушений обязательных требований в области безопасности дорожного движения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правильно квалифицированы по ч. 1 </w:t>
      </w:r>
      <w:r>
        <w:rPr>
          <w:rFonts w:ascii="Times New Roman" w:eastAsia="Times New Roman" w:hAnsi="Times New Roman" w:cs="Times New Roman"/>
          <w:sz w:val="24"/>
          <w:rtl w:val="0"/>
        </w:rPr>
        <w:t>ст. 12.34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(отдельный бланк)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в соответствии со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Конституции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разъяснены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1 ст. 12.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34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1 ст. 12.34 КоАП РФ,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влечет наложение административного штрафа 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должностных лиц, ответственных за состояние дорог, железнодорожных переездов или других дорожных сооружений, в размере от двадцати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юридических лиц - от двухсот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Оснований </w:t>
      </w:r>
      <w:r>
        <w:rPr>
          <w:rFonts w:ascii="Times New Roman" w:eastAsia="Times New Roman" w:hAnsi="Times New Roman" w:cs="Times New Roman"/>
          <w:sz w:val="24"/>
          <w:rtl w:val="0"/>
        </w:rPr>
        <w:t>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порядке ст. 4.5 КоАП РФ </w:t>
      </w:r>
      <w:r>
        <w:rPr>
          <w:rFonts w:ascii="Times New Roman" w:eastAsia="Times New Roman" w:hAnsi="Times New Roman" w:cs="Times New Roman"/>
          <w:sz w:val="24"/>
          <w:rtl w:val="0"/>
        </w:rPr>
        <w:t>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Всесторонне, полно и объективно проанализировав все фактические данные,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защитника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оценив имеющиеся в материалах дела доказательства, учитывая характер совершенного правонарушения, личность виновного, его имущественное положение,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который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не привлекавшегося к административной ответственности, а также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 обстоятельств, отягчающих и смягчающих административную ответственность, с целью предотвращения совершения новых правонарушений, мировой судья считает возможным назначить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административное наказание в нижнем пределе санкции ч. 1 ст. 12.34 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т.е.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 руководствуясь ч. 1 ст. 12.34, </w:t>
      </w:r>
      <w:r>
        <w:rPr>
          <w:rFonts w:ascii="Times New Roman" w:eastAsia="Times New Roman" w:hAnsi="Times New Roman" w:cs="Times New Roman"/>
          <w:sz w:val="24"/>
          <w:rtl w:val="0"/>
        </w:rPr>
        <w:t>ст.ст</w:t>
      </w:r>
      <w:r>
        <w:rPr>
          <w:rFonts w:ascii="Times New Roman" w:eastAsia="Times New Roman" w:hAnsi="Times New Roman" w:cs="Times New Roman"/>
          <w:sz w:val="24"/>
          <w:rtl w:val="0"/>
        </w:rPr>
        <w:t>. 29.9, 29.10 КоАП РФ, мировой судья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признать виновным в совершении административного правонарушения, предусмотренного частью 1 статьи 12.34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 платежа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Сакский),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ЕКС 40102810645370000035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03100643000000017500, КБК 18811601123010001140,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18810491252600004679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DB586C999C1BEDF133A449C514F3AC0025C1B89142B104FBBADE479DD3EB5DE3A0013F3D9AAF5F6ECD65216F9G3oDT" TargetMode="External" /><Relationship Id="rId5" Type="http://schemas.openxmlformats.org/officeDocument/2006/relationships/hyperlink" Target="consultantplus://offline/ref=A425BA12E4EFE411EF8E7E17090D83CE9CFA971B517725968E451EC5D7M976L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