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375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69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>1 бутылку коньяка 3-х летнего «Бахчисарай»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0,5л,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«Бахчисарай».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237370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магазина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после инвентаризации товаров в магазине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недостача, после просмотра видеозаписи обнаружен неизвестный гражданин, который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похищал в магазине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коньяк;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