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389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несовершеннолетних детей не имеющего, не являющегося инвалидом 1, 2 группы,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автомойщиком у ИП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Спортивная, 1,2</w:t>
      </w:r>
      <w:r>
        <w:rPr>
          <w:rFonts w:ascii="Times New Roman" w:eastAsia="Times New Roman" w:hAnsi="Times New Roman" w:cs="Times New Roman"/>
          <w:sz w:val="26"/>
          <w:rtl w:val="0"/>
        </w:rPr>
        <w:t>, военнослужащим не являющегося, на военные сборы не призванного,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привлекавшего к административной ответственности,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085955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признал,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штраф он оплатил, квитанцию об оплате штрафа отдал в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Работает на автомойке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автомойщиком. Доход нерегулярный, в среднем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месяц, однако оплата сдельная и в настоящее время он дохода не получает из-за отсутствия на мойке машин.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237978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085955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6.24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 18880391242040859551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системе ГИС ГМП, фиксирующей сведения об оплате штрафа по УИН, сведения об оплате штрафа УИН </w:t>
      </w:r>
      <w:r>
        <w:rPr>
          <w:rFonts w:ascii="Times New Roman" w:eastAsia="Times New Roman" w:hAnsi="Times New Roman" w:cs="Times New Roman"/>
          <w:sz w:val="26"/>
          <w:rtl w:val="0"/>
        </w:rPr>
        <w:t>18880391242040859551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отсутствуют, а также, что помимо данного штрафа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имеется ещё два неоплаченных 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085955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штраф им оплачен противоречат данным СООП из автоматической системы ГИС ГМП, суд соответствующие доводы не принимает во внимание, так как считает, что в данном случае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избрал соответствующую линию защиты, с целью уклонения от ответственности.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1 ст. 6.24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у него для оплаты штрафа не было денежных средств ввиду задержки оплаты его труда, не могут быть приняты во внимание, поскольку законом установлен 60-ти дневный срок для оплаты штрафа, а также предусмотрена возможность отсрочки уплаты штрафа, которой он не воспользовался.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 или отягчающих административную ответственность судом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 в установленный срок штрафа,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регулярного источника дохода, наличие иных неоплаченных штрафов,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невозможным назначить ему наказание в виде штрафа, и приходит к выводу о назначении ему наказания в пределах санкции ч. 1 ст. 20.25 КоАП РФ в виде обязательных работ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</w:t>
      </w:r>
      <w:r>
        <w:rPr>
          <w:rFonts w:ascii="Times New Roman" w:eastAsia="Times New Roman" w:hAnsi="Times New Roman" w:cs="Times New Roman"/>
          <w:sz w:val="26"/>
          <w:rtl w:val="0"/>
        </w:rPr>
        <w:t>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тридцать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