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93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0073-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отдела </w:t>
      </w:r>
      <w:r>
        <w:rPr>
          <w:rFonts w:ascii="Times New Roman" w:eastAsia="Times New Roman" w:hAnsi="Times New Roman" w:cs="Times New Roman"/>
          <w:sz w:val="24"/>
          <w:rtl w:val="0"/>
        </w:rPr>
        <w:t>персонифицированного учета и администрирования страховых взносов № 3 управления ПУ и АСВ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Отделения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Фонда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пенсионного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Паюсова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гражданина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к.п.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бухгалтера Сакской городской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расположенно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4"/>
          <w:rtl w:val="0"/>
        </w:rPr>
        <w:t>привле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15.</w:t>
      </w:r>
      <w:r>
        <w:rPr>
          <w:rFonts w:ascii="Times New Roman" w:eastAsia="Times New Roman" w:hAnsi="Times New Roman" w:cs="Times New Roman"/>
          <w:sz w:val="24"/>
          <w:rtl w:val="0"/>
        </w:rPr>
        <w:t>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А.Е. 00 час. 01. Мин.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 являясь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бухгалтер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 xml:space="preserve"> Сакской городской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2025 допустила несвоевременное предоставление сведений по начисленным страховым взносам по форме ЕФС-1 за полугодие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. Срок предоставления сведений по начисленным страховым взносам указанный период - не позднее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в форме электронного документа. В результате чего были нарушены требования ст. 24 Федерального Закона № 125-ФЗ от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полугодие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представлены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чем совершила правонарушение, предусмотренное ч.2 ст. 15.33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ходатайство о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в его отсутствие не предоставил</w:t>
      </w:r>
      <w:r>
        <w:rPr>
          <w:rFonts w:ascii="Times New Roman" w:eastAsia="Times New Roman" w:hAnsi="Times New Roman" w:cs="Times New Roman"/>
          <w:sz w:val="24"/>
          <w:rtl w:val="0"/>
        </w:rPr>
        <w:t>, явку уполномочен</w:t>
      </w:r>
      <w:r>
        <w:rPr>
          <w:rFonts w:ascii="Times New Roman" w:eastAsia="Times New Roman" w:hAnsi="Times New Roman" w:cs="Times New Roman"/>
          <w:sz w:val="24"/>
          <w:rtl w:val="0"/>
        </w:rPr>
        <w:t>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 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01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формы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0079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статьей 8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1153884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начисленны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страховы</w:t>
      </w:r>
      <w:r>
        <w:rPr>
          <w:rFonts w:ascii="Times New Roman" w:eastAsia="Times New Roman" w:hAnsi="Times New Roman" w:cs="Times New Roman"/>
          <w:sz w:val="24"/>
          <w:rtl w:val="0"/>
        </w:rPr>
        <w:t>х взносах</w:t>
      </w:r>
      <w:r>
        <w:rPr>
          <w:rFonts w:ascii="Times New Roman" w:eastAsia="Times New Roman" w:hAnsi="Times New Roman" w:cs="Times New Roman"/>
          <w:sz w:val="24"/>
          <w:rtl w:val="0"/>
        </w:rPr>
        <w:t>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выписки ЕГРЮЛ.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квалифицирует по </w:t>
      </w:r>
      <w:r>
        <w:rPr>
          <w:rFonts w:ascii="Times New Roman" w:eastAsia="Times New Roman" w:hAnsi="Times New Roman" w:cs="Times New Roman"/>
          <w:sz w:val="24"/>
          <w:rtl w:val="0"/>
        </w:rPr>
        <w:t>ч.2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15.33 КоАП РФ как нарушение установленных законодательством Российской Федерации о страховых взносах сроков предоставления Расчета по начисле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 и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ст. 4.1.1 КоАП РФ 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указанной статьи.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Часть 4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Из материалов дела следует, что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бухгалтер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Сакской городской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 момент совершения правонарушения по настоящему делу не является лицом, привлеченным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29.10</w:t>
      </w:r>
      <w:r>
        <w:rPr>
          <w:rFonts w:ascii="Times New Roman" w:eastAsia="Times New Roman" w:hAnsi="Times New Roman" w:cs="Times New Roman"/>
          <w:sz w:val="24"/>
          <w:rtl w:val="0"/>
        </w:rPr>
        <w:t>, 4.1.1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Сакской городской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применением положений ст. 4.1.1 КоАП РФ, </w:t>
      </w:r>
      <w:r>
        <w:rPr>
          <w:rFonts w:ascii="Times New Roman" w:eastAsia="Times New Roman" w:hAnsi="Times New Roman" w:cs="Times New Roman"/>
          <w:sz w:val="24"/>
          <w:rtl w:val="0"/>
        </w:rPr>
        <w:t>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f52df7bb969f939b2e9c40a76671111f8a941d9c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