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404</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к.п</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образование,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 xml:space="preserve">одного </w:t>
      </w:r>
      <w:r>
        <w:rPr>
          <w:rFonts w:ascii="Times New Roman" w:eastAsia="Times New Roman" w:hAnsi="Times New Roman" w:cs="Times New Roman"/>
          <w:sz w:val="24"/>
          <w:rtl w:val="0"/>
        </w:rPr>
        <w:t>несовершеннолетн</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ребенка</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и 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w:t>
      </w:r>
      <w:r>
        <w:rPr>
          <w:rFonts w:ascii="Times New Roman" w:eastAsia="Times New Roman" w:hAnsi="Times New Roman" w:cs="Times New Roman"/>
          <w:sz w:val="24"/>
          <w:rtl w:val="0"/>
        </w:rPr>
        <w:t xml:space="preserve">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вблизи дома № 95</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последне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один удар </w:t>
      </w:r>
      <w:r>
        <w:rPr>
          <w:rFonts w:ascii="Times New Roman" w:eastAsia="Times New Roman" w:hAnsi="Times New Roman" w:cs="Times New Roman"/>
          <w:sz w:val="24"/>
          <w:rtl w:val="0"/>
        </w:rPr>
        <w:t>левой</w:t>
      </w:r>
      <w:r>
        <w:rPr>
          <w:rFonts w:ascii="Times New Roman" w:eastAsia="Times New Roman" w:hAnsi="Times New Roman" w:cs="Times New Roman"/>
          <w:sz w:val="24"/>
          <w:rtl w:val="0"/>
        </w:rPr>
        <w:t xml:space="preserve"> рук</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в область </w:t>
      </w:r>
      <w:r>
        <w:rPr>
          <w:rFonts w:ascii="Times New Roman" w:eastAsia="Times New Roman" w:hAnsi="Times New Roman" w:cs="Times New Roman"/>
          <w:sz w:val="24"/>
          <w:rtl w:val="0"/>
        </w:rPr>
        <w:t>верхней губы</w:t>
      </w:r>
      <w:r>
        <w:rPr>
          <w:rFonts w:ascii="Times New Roman" w:eastAsia="Times New Roman" w:hAnsi="Times New Roman" w:cs="Times New Roman"/>
          <w:sz w:val="24"/>
          <w:rtl w:val="0"/>
        </w:rPr>
        <w:t xml:space="preserve">, от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w:t>
      </w:r>
      <w:r>
        <w:rPr>
          <w:rFonts w:ascii="Times New Roman" w:eastAsia="Times New Roman" w:hAnsi="Times New Roman" w:cs="Times New Roman"/>
          <w:sz w:val="24"/>
          <w:rtl w:val="0"/>
        </w:rPr>
        <w:t xml:space="preserve">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едусмотрена</w:t>
      </w:r>
      <w:r>
        <w:rPr>
          <w:rFonts w:ascii="Times New Roman" w:eastAsia="Times New Roman" w:hAnsi="Times New Roman" w:cs="Times New Roman"/>
          <w:sz w:val="24"/>
          <w:rtl w:val="0"/>
        </w:rPr>
        <w:t xml:space="preserve">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подтвердил факт </w:t>
      </w:r>
      <w:r>
        <w:rPr>
          <w:rFonts w:ascii="Times New Roman" w:eastAsia="Times New Roman" w:hAnsi="Times New Roman" w:cs="Times New Roman"/>
          <w:sz w:val="24"/>
          <w:rtl w:val="0"/>
        </w:rPr>
        <w:t>нанесения удар</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от которых он испытал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w:t>
      </w:r>
      <w:r>
        <w:rPr>
          <w:rFonts w:ascii="Times New Roman" w:eastAsia="Times New Roman" w:hAnsi="Times New Roman" w:cs="Times New Roman"/>
          <w:sz w:val="24"/>
          <w:rtl w:val="0"/>
        </w:rPr>
        <w:t>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вблизи дома № 95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последнему один удар левой рукой в область верхней губы, от чего потерпевший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 физическую боль.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заключением</w:t>
      </w:r>
      <w:r>
        <w:rPr>
          <w:rFonts w:ascii="Times New Roman" w:eastAsia="Times New Roman" w:hAnsi="Times New Roman" w:cs="Times New Roman"/>
          <w:sz w:val="24"/>
          <w:rtl w:val="0"/>
        </w:rPr>
        <w:t>, видеозаписью происшествия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УИН:</w:t>
      </w:r>
      <w:r>
        <w:rPr>
          <w:rFonts w:ascii="Times New Roman" w:eastAsia="Times New Roman" w:hAnsi="Times New Roman" w:cs="Times New Roman"/>
          <w:sz w:val="24"/>
          <w:rtl w:val="0"/>
        </w:rPr>
        <w:t xml:space="preserve"> 0410760300705004042506120.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