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0972D0">
        <w:rPr>
          <w:rFonts w:ascii="Times New Roman" w:hAnsi="Times New Roman"/>
          <w:b/>
          <w:color w:val="000000" w:themeColor="text1"/>
          <w:sz w:val="23"/>
          <w:szCs w:val="23"/>
        </w:rPr>
        <w:t>0187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УИН 91MS0077-01-2025-</w:t>
      </w:r>
      <w:r w:rsidR="00445CFD">
        <w:rPr>
          <w:rFonts w:ascii="Times New Roman" w:hAnsi="Times New Roman"/>
          <w:b/>
          <w:color w:val="000000" w:themeColor="text1"/>
          <w:sz w:val="23"/>
          <w:szCs w:val="23"/>
        </w:rPr>
        <w:t>001245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-</w:t>
      </w:r>
      <w:r w:rsidR="00445CFD">
        <w:rPr>
          <w:rFonts w:ascii="Times New Roman" w:hAnsi="Times New Roman"/>
          <w:b/>
          <w:color w:val="000000" w:themeColor="text1"/>
          <w:sz w:val="23"/>
          <w:szCs w:val="23"/>
        </w:rPr>
        <w:t>23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27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июня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М</w:t>
      </w:r>
      <w:r w:rsidRPr="00E2095F" w:rsidR="00706115">
        <w:rPr>
          <w:rFonts w:ascii="Times New Roman" w:hAnsi="Times New Roman"/>
          <w:color w:val="000000" w:themeColor="text1"/>
          <w:sz w:val="23"/>
          <w:szCs w:val="23"/>
        </w:rPr>
        <w:t>ировой судья судебного участка № 7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</w:t>
      </w:r>
      <w:r w:rsidRPr="00E2095F" w:rsidR="00681C3F">
        <w:rPr>
          <w:rFonts w:ascii="Times New Roman" w:hAnsi="Times New Roman"/>
          <w:color w:val="000000" w:themeColor="text1"/>
          <w:sz w:val="23"/>
          <w:szCs w:val="23"/>
        </w:rPr>
        <w:t>Шевчук К.С.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ИО, дата, место, паспорт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 место нахождения организации,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Директор ООО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нарушил требования пункта 1 статьи 24 Федерального закона от 24 июля 1998 года № 125-ФЗ «Об обязательном социальном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страховании от несчастных случаев на производстве и профессиональных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 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30.01.2025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27.01.2025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</w:t>
      </w: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30.01.2025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Республика Крым, р-н Симферопольский, с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 Донское, ул. 60 лет СССР, д. 38,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Представитель ОСФР по Республике Крым в судебное заседание не явился, о дне, месте и време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ни рассмотрения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директор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ООО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Д. Ю.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совершении административного 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социальном страховании от несчастных случае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л 2 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Вина дирек</w:t>
      </w:r>
      <w:r>
        <w:rPr>
          <w:rFonts w:ascii="Times New Roman" w:hAnsi="Times New Roman"/>
          <w:color w:val="000000" w:themeColor="text1"/>
          <w:sz w:val="23"/>
          <w:szCs w:val="23"/>
        </w:rPr>
        <w:t>тор</w:t>
      </w:r>
      <w:r>
        <w:rPr>
          <w:rFonts w:ascii="Times New Roman" w:hAnsi="Times New Roman"/>
          <w:color w:val="000000" w:themeColor="text1"/>
          <w:sz w:val="23"/>
          <w:szCs w:val="23"/>
        </w:rPr>
        <w:t>а  ООО</w:t>
      </w:r>
      <w:r w:rsidRPr="00E2095F">
        <w:rPr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Д. Ю.   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848462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03.06.2025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Объективных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ст. 2.4 КоАП РФ административной ответственности подлежит дол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лица.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а ООО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 w:rsidR="00C67C72">
        <w:rPr>
          <w:rFonts w:ascii="Times New Roman" w:hAnsi="Times New Roman"/>
          <w:color w:val="000000" w:themeColor="text1"/>
          <w:sz w:val="23"/>
          <w:szCs w:val="23"/>
        </w:rPr>
        <w:t xml:space="preserve">., </w:t>
      </w:r>
      <w:r w:rsidRPr="00E2095F" w:rsidR="00192B8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мировой судья квалифицирует по ч. 2ст. 15.33 КоАП РФ - нарушение установленных законодательством Российской Федерации об обязатель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директору ООО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Д.Ю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.  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виде минимального размера административного штрафа, поскольку обстоятельств, способствующих назначению более строго размера наказания судом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не установлено 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изложенного, руководствуясь ч. 2 ст.15.33, 29.10 КоАП РФ, мировой судья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директора ООО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Разъяснить о необходимости произвести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оплату суммы административного штрафа в 60-дневный срок со дня вступления постановления в 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ИНН 7706808265, КПП 91020101, ОКТМО 35000000, расчетный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счет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 получателя: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797910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10306250181296.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E2095F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E2095F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 w:rsidR="00092389">
        <w:rPr>
          <w:rFonts w:ascii="Times New Roman" w:hAnsi="Times New Roman"/>
          <w:color w:val="FF0000"/>
          <w:sz w:val="23"/>
          <w:szCs w:val="23"/>
        </w:rPr>
        <w:t xml:space="preserve">   </w:t>
      </w:r>
      <w:r w:rsidRPr="00E2095F" w:rsidR="00272A3A">
        <w:rPr>
          <w:rFonts w:ascii="Times New Roman" w:hAnsi="Times New Roman"/>
          <w:color w:val="FF0000"/>
          <w:sz w:val="23"/>
          <w:szCs w:val="23"/>
        </w:rPr>
        <w:t xml:space="preserve">                </w:t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 w:rsidR="00C41914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 xml:space="preserve">              </w:t>
      </w:r>
      <w:r w:rsidRPr="00E2095F" w:rsidR="002E786F">
        <w:rPr>
          <w:rFonts w:ascii="Times New Roman" w:hAnsi="Times New Roman"/>
          <w:color w:val="FF0000"/>
          <w:sz w:val="23"/>
          <w:szCs w:val="23"/>
        </w:rPr>
        <w:t xml:space="preserve">          </w:t>
      </w:r>
      <w:r w:rsidRPr="00E2095F" w:rsidR="009D2EC5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E2095F" w:rsidR="001537BF">
        <w:rPr>
          <w:rFonts w:ascii="Times New Roman" w:hAnsi="Times New Roman"/>
          <w:color w:val="FF0000"/>
          <w:sz w:val="23"/>
          <w:szCs w:val="23"/>
        </w:rPr>
        <w:t>Шевчук К.С.</w:t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ab/>
      </w:r>
      <w:r w:rsidRPr="00E2095F">
        <w:rPr>
          <w:rFonts w:ascii="Times New Roman" w:hAnsi="Times New Roman"/>
          <w:color w:val="FF0000"/>
          <w:sz w:val="23"/>
          <w:szCs w:val="23"/>
        </w:rPr>
        <w:tab/>
        <w:t xml:space="preserve">          </w:t>
      </w:r>
    </w:p>
    <w:p w:rsidR="00C03EFB" w:rsidRPr="00E2095F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105EAC" w:rsidP="00C03EFB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3"/>
          <w:szCs w:val="23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105EAC" w:rsidP="002E786F">
            <w:pPr>
              <w:rPr>
                <w:rFonts w:ascii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Копия верна</w:t>
            </w:r>
            <w:r w:rsidRPr="00105EAC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«</w:t>
            </w:r>
            <w:r w:rsidRPr="00105EAC" w:rsid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27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» </w:t>
            </w:r>
            <w:r w:rsidRPr="00105EAC" w:rsid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июня</w:t>
            </w:r>
            <w:r w:rsidRPr="00105EAC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202</w:t>
            </w:r>
            <w:r w:rsidRPr="00105EAC" w:rsidR="005B5B17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5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г.   </w:t>
            </w: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 _________К.С.Шевчук</w:t>
            </w: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Помощник м/с ______</w:t>
            </w:r>
            <w:r w:rsidRPr="00105EAC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Лехно</w:t>
            </w:r>
            <w:r w:rsidRPr="00105EAC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А.С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.</w:t>
            </w: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105EAC" w:rsidP="00092389">
            <w:pPr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</w:tc>
        <w:tc>
          <w:tcPr>
            <w:tcW w:w="4053" w:type="dxa"/>
          </w:tcPr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Постановление не вступило в законную силу</w:t>
            </w:r>
            <w:r w:rsidRPr="00105EAC" w:rsid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«27</w:t>
            </w:r>
            <w:r w:rsidRPr="00105EAC" w:rsidR="00E209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» </w:t>
            </w:r>
            <w:r w:rsidRPr="00105EAC" w:rsid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июня</w:t>
            </w:r>
            <w:r w:rsidRPr="00105EAC" w:rsidR="00E2095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 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202</w:t>
            </w:r>
            <w:r w:rsidRPr="00105EAC" w:rsidR="005B5B17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5</w:t>
            </w: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г. _________К.С.Шевчук</w:t>
            </w: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  <w:p w:rsidR="00092389" w:rsidRPr="00105EAC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105EAC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Помощник м/с ______</w:t>
            </w:r>
            <w:r w:rsidRPr="00105EAC" w:rsidR="002E786F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>Лехно</w:t>
            </w:r>
            <w:r w:rsidRPr="00105EAC" w:rsidR="00F24FA1"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  <w:t xml:space="preserve"> А.С.</w:t>
            </w:r>
          </w:p>
          <w:p w:rsidR="00092389" w:rsidRPr="00105EAC" w:rsidP="00092389">
            <w:pPr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ru-RU"/>
              </w:rPr>
            </w:pPr>
          </w:p>
        </w:tc>
      </w:tr>
    </w:tbl>
    <w:p w:rsidR="00C03EFB" w:rsidRPr="00E2095F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F41F5C">
          <w:footerReference w:type="default" r:id="rId5"/>
          <w:pgSz w:w="11906" w:h="16838"/>
          <w:pgMar w:top="567" w:right="707" w:bottom="567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7B1B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B10E2"/>
    <w:rsid w:val="000B23E0"/>
    <w:rsid w:val="000D64D6"/>
    <w:rsid w:val="000E0937"/>
    <w:rsid w:val="000E468D"/>
    <w:rsid w:val="000F44A1"/>
    <w:rsid w:val="00105EAC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45CFD"/>
    <w:rsid w:val="00454270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1A34"/>
    <w:rsid w:val="005947B8"/>
    <w:rsid w:val="00595B66"/>
    <w:rsid w:val="0059684B"/>
    <w:rsid w:val="005B5B17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B349E"/>
    <w:rsid w:val="007B4913"/>
    <w:rsid w:val="007B6E51"/>
    <w:rsid w:val="007D500E"/>
    <w:rsid w:val="007E2A17"/>
    <w:rsid w:val="00816C3B"/>
    <w:rsid w:val="00823F5D"/>
    <w:rsid w:val="00840613"/>
    <w:rsid w:val="00845758"/>
    <w:rsid w:val="008519A1"/>
    <w:rsid w:val="00864189"/>
    <w:rsid w:val="00873BA3"/>
    <w:rsid w:val="00883C95"/>
    <w:rsid w:val="00895F4B"/>
    <w:rsid w:val="008A2463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470ED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CD60FE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5045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