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0746D0">
        <w:rPr>
          <w:rFonts w:ascii="Times New Roman" w:hAnsi="Times New Roman"/>
          <w:b/>
          <w:color w:val="000000" w:themeColor="text1"/>
          <w:sz w:val="23"/>
          <w:szCs w:val="23"/>
        </w:rPr>
        <w:t>0215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18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ию</w:t>
      </w:r>
      <w:r>
        <w:rPr>
          <w:rFonts w:ascii="Times New Roman" w:hAnsi="Times New Roman"/>
          <w:color w:val="000000" w:themeColor="text1"/>
          <w:sz w:val="23"/>
          <w:szCs w:val="23"/>
        </w:rPr>
        <w:t>л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0746D0">
        <w:rPr>
          <w:rFonts w:ascii="Times New Roman" w:hAnsi="Times New Roman"/>
          <w:color w:val="000000" w:themeColor="text1"/>
          <w:sz w:val="23"/>
          <w:szCs w:val="23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</w:t>
      </w:r>
      <w:r w:rsidRPr="000746D0">
        <w:rPr>
          <w:rFonts w:ascii="Times New Roman" w:hAnsi="Times New Roman"/>
          <w:color w:val="000000" w:themeColor="text1"/>
          <w:sz w:val="23"/>
          <w:szCs w:val="23"/>
        </w:rPr>
        <w:t>Крым – мировой судья судебного участка №80 Симферопольского судебного района (Симферопольский муниципальный район) Республики Крым Ищенко И.В.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>председатель</w:t>
      </w:r>
      <w:r w:rsidR="00E46A41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ФИО, дата, место, паспорт, место нахождения организации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председатель ФИО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нарушил требования пункта 1 статьи 24 Федерального закона от 24 июля 1998 года № 125-ФЗ «Об обязательном социальном страховании от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несчастных случаев на производстве и профессиональных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 xml:space="preserve"> полугодие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5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.0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7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.202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Республика Крым, 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-н Симферопольский, с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Мазанка, ул. Заозерная, д. 10</w:t>
      </w:r>
      <w:r w:rsidR="007C509F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Представитель ОСФР по Республике Крым в судебное заседание не явился, о дне, месте и времени рас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смотрения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8A70E3" w:rsidR="008A70E3">
        <w:t xml:space="preserve">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 совершении административного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Вина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в совершении административного правонарушения подтверждается следующими материалами дела: протоколом об админист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ративном правонарушении №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788429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24.06.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совокупность которых полно и объективно отражают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событие административного правонарушения и вину должностного лица.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С.С.</w:t>
      </w:r>
      <w:r w:rsidRPr="00E2095F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мировой судья квалифицирует по ч. 2ст. 15.33 КоАП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 учетом всех обстоятельств дела, в соответствии с общими правилами назначения административного наказания, основанными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на принципах справедливости, соразмерности и индивидуализации ответственности,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председателю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администрати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ании изложенного, руководствуясь ч. 2 ст.15.33, 29.10 КоАП РФ, мировой судья</w:t>
      </w: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Разъяснить о необходимости произвести оплату суммы адми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нистративного штрафа в 60-дневный срок со дня вступления постановления в 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ИНН 7706808265,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КПП 91020101, ОКТМО 35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1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000,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номер казначейского счета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кор.счет 40102810645370000035,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                       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79791012904250141067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Постановление может быть обжаловано в Симферопольский районный суд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E65EA7" w:rsidP="00E65EA7">
      <w:pPr>
        <w:spacing w:after="0" w:line="240" w:lineRule="auto"/>
        <w:ind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C509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E65EA7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E65EA7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65EA7" w:rsidR="00272A3A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0A0769" w:rsidR="00E65EA7">
        <w:rPr>
          <w:rFonts w:ascii="Times New Roman" w:hAnsi="Times New Roman"/>
          <w:color w:val="FFFFFF" w:themeColor="background1"/>
          <w:sz w:val="23"/>
          <w:szCs w:val="23"/>
        </w:rPr>
        <w:t>п/п</w:t>
      </w:r>
      <w:r w:rsidRPr="000A0769" w:rsidR="00272A3A">
        <w:rPr>
          <w:rFonts w:ascii="Times New Roman" w:hAnsi="Times New Roman"/>
          <w:color w:val="FFFFFF" w:themeColor="background1"/>
          <w:sz w:val="23"/>
          <w:szCs w:val="23"/>
        </w:rPr>
        <w:t xml:space="preserve">             </w:t>
      </w:r>
      <w:r w:rsidRPr="00E65EA7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>
        <w:rPr>
          <w:rFonts w:ascii="Times New Roman" w:hAnsi="Times New Roman"/>
          <w:color w:val="000000" w:themeColor="text1"/>
          <w:sz w:val="23"/>
          <w:szCs w:val="23"/>
        </w:rPr>
        <w:t xml:space="preserve">              </w:t>
      </w:r>
      <w:r w:rsidRPr="00E65EA7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          </w:t>
      </w:r>
      <w:r w:rsidRPr="00E65EA7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65EA7" w:rsidR="00D80272">
        <w:rPr>
          <w:rFonts w:ascii="Times New Roman" w:hAnsi="Times New Roman"/>
          <w:color w:val="000000" w:themeColor="text1"/>
          <w:sz w:val="23"/>
          <w:szCs w:val="23"/>
        </w:rPr>
        <w:t>Ищенко И.В.</w:t>
      </w:r>
      <w:r w:rsidRPr="00E65EA7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65EA7">
        <w:rPr>
          <w:rFonts w:ascii="Times New Roman" w:hAnsi="Times New Roman"/>
          <w:color w:val="000000" w:themeColor="text1"/>
          <w:sz w:val="23"/>
          <w:szCs w:val="23"/>
        </w:rPr>
        <w:tab/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0A0769" w:rsidP="002E786F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Копия верна</w:t>
            </w:r>
            <w:r w:rsidRPr="000A0769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18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0A0769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ию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</w:t>
            </w:r>
            <w:r w:rsidRPr="000A0769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я</w:t>
            </w:r>
            <w:r w:rsidRPr="000A0769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202</w:t>
            </w:r>
            <w:r w:rsidRPr="000A0769" w:rsidR="005B5B1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  </w:t>
            </w:r>
          </w:p>
          <w:p w:rsidR="00092389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_________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Ищенко И.В</w:t>
            </w:r>
          </w:p>
          <w:p w:rsidR="00092389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0A0769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0A0769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.</w:t>
            </w:r>
          </w:p>
          <w:p w:rsidR="00092389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0A0769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</w:tcPr>
          <w:p w:rsidR="00E65EA7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Постановление не вступило в законную </w:t>
            </w:r>
          </w:p>
          <w:p w:rsidR="00092389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силу</w:t>
            </w:r>
            <w:r w:rsidRPr="000A0769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«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18</w:t>
            </w:r>
            <w:r w:rsidRPr="000A0769" w:rsidR="00E2095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0A0769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ию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</w:t>
            </w:r>
            <w:r w:rsidRPr="000A0769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я</w:t>
            </w:r>
            <w:r w:rsidRPr="000A0769" w:rsidR="00E2095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202</w:t>
            </w:r>
            <w:r w:rsidRPr="000A0769" w:rsidR="005B5B1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_________</w:t>
            </w:r>
            <w:r w:rsidRPr="000A0769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Ищенко И.В</w:t>
            </w:r>
          </w:p>
          <w:p w:rsidR="00092389" w:rsidRPr="000A0769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0A0769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0A0769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0A0769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А.С.</w:t>
            </w:r>
          </w:p>
          <w:p w:rsidR="00092389" w:rsidRPr="000A0769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</w:tbl>
    <w:p w:rsidR="00C03EFB" w:rsidRPr="00E65EA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E65EA7">
          <w:footerReference w:type="default" r:id="rId5"/>
          <w:pgSz w:w="11906" w:h="16838"/>
          <w:pgMar w:top="567" w:right="707" w:bottom="0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6F46"/>
    <w:rsid w:val="00007B1B"/>
    <w:rsid w:val="00015C86"/>
    <w:rsid w:val="00031C99"/>
    <w:rsid w:val="00036861"/>
    <w:rsid w:val="0003724F"/>
    <w:rsid w:val="00040BA6"/>
    <w:rsid w:val="00067582"/>
    <w:rsid w:val="000746D0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A0769"/>
    <w:rsid w:val="000B10E2"/>
    <w:rsid w:val="000B23E0"/>
    <w:rsid w:val="000B283C"/>
    <w:rsid w:val="000D64D6"/>
    <w:rsid w:val="000E0937"/>
    <w:rsid w:val="000E468D"/>
    <w:rsid w:val="000F44A1"/>
    <w:rsid w:val="00105EAC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13227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A56F5"/>
    <w:rsid w:val="003B5E30"/>
    <w:rsid w:val="003C0ECD"/>
    <w:rsid w:val="003C2E7A"/>
    <w:rsid w:val="003D69C0"/>
    <w:rsid w:val="003D7523"/>
    <w:rsid w:val="00405588"/>
    <w:rsid w:val="00412105"/>
    <w:rsid w:val="00417306"/>
    <w:rsid w:val="00417E68"/>
    <w:rsid w:val="00445CFD"/>
    <w:rsid w:val="00454270"/>
    <w:rsid w:val="004835E0"/>
    <w:rsid w:val="004848AF"/>
    <w:rsid w:val="004870C6"/>
    <w:rsid w:val="004A3B21"/>
    <w:rsid w:val="004C1575"/>
    <w:rsid w:val="004C5CED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47B8"/>
    <w:rsid w:val="00595B66"/>
    <w:rsid w:val="0059684B"/>
    <w:rsid w:val="005B5B17"/>
    <w:rsid w:val="005C74E5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B349E"/>
    <w:rsid w:val="007B4913"/>
    <w:rsid w:val="007B6E51"/>
    <w:rsid w:val="007C509F"/>
    <w:rsid w:val="007D500E"/>
    <w:rsid w:val="007E2A17"/>
    <w:rsid w:val="00803459"/>
    <w:rsid w:val="00816C3B"/>
    <w:rsid w:val="00823F5D"/>
    <w:rsid w:val="00840613"/>
    <w:rsid w:val="00845758"/>
    <w:rsid w:val="008519A1"/>
    <w:rsid w:val="00864189"/>
    <w:rsid w:val="00873BA3"/>
    <w:rsid w:val="00883C95"/>
    <w:rsid w:val="00895F4B"/>
    <w:rsid w:val="008A2463"/>
    <w:rsid w:val="008A70E3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01E9B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D7E52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CD60FE"/>
    <w:rsid w:val="00D27BE3"/>
    <w:rsid w:val="00D343D5"/>
    <w:rsid w:val="00D61A16"/>
    <w:rsid w:val="00D63350"/>
    <w:rsid w:val="00D70986"/>
    <w:rsid w:val="00D80272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46A41"/>
    <w:rsid w:val="00E50457"/>
    <w:rsid w:val="00E65EA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