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B19" w:rsidRPr="009B3B7F" w:rsidP="00802EAF">
      <w:pPr>
        <w:ind w:firstLine="567"/>
        <w:jc w:val="right"/>
        <w:rPr>
          <w:sz w:val="25"/>
          <w:szCs w:val="25"/>
        </w:rPr>
      </w:pPr>
      <w:r w:rsidRPr="009B3B7F">
        <w:rPr>
          <w:sz w:val="25"/>
          <w:szCs w:val="25"/>
        </w:rPr>
        <w:t>Дело №05-0</w:t>
      </w:r>
      <w:r w:rsidR="004D5C16">
        <w:rPr>
          <w:sz w:val="25"/>
          <w:szCs w:val="25"/>
        </w:rPr>
        <w:t>010</w:t>
      </w:r>
      <w:r w:rsidRPr="009B3B7F">
        <w:rPr>
          <w:sz w:val="25"/>
          <w:szCs w:val="25"/>
        </w:rPr>
        <w:t>/79/202</w:t>
      </w:r>
      <w:r w:rsidR="004D5C16">
        <w:rPr>
          <w:sz w:val="25"/>
          <w:szCs w:val="25"/>
        </w:rPr>
        <w:t>5</w:t>
      </w:r>
    </w:p>
    <w:p w:rsidR="00C43B19" w:rsidRPr="009B3B7F" w:rsidP="00802EAF">
      <w:pPr>
        <w:ind w:firstLine="567"/>
        <w:jc w:val="center"/>
        <w:rPr>
          <w:b/>
          <w:sz w:val="25"/>
          <w:szCs w:val="25"/>
        </w:rPr>
      </w:pPr>
      <w:r w:rsidRPr="009B3B7F">
        <w:rPr>
          <w:b/>
          <w:sz w:val="25"/>
          <w:szCs w:val="25"/>
        </w:rPr>
        <w:t>ПОСТАНОВЛЕНИЕ</w:t>
      </w:r>
    </w:p>
    <w:p w:rsidR="00C43B19" w:rsidRPr="009B3B7F" w:rsidP="00372D4E">
      <w:pPr>
        <w:ind w:firstLine="567"/>
        <w:rPr>
          <w:sz w:val="25"/>
          <w:szCs w:val="25"/>
        </w:rPr>
      </w:pPr>
      <w:r>
        <w:rPr>
          <w:sz w:val="25"/>
          <w:szCs w:val="25"/>
        </w:rPr>
        <w:t>30</w:t>
      </w:r>
      <w:r w:rsidRPr="009B3B7F" w:rsidR="00EC692B">
        <w:rPr>
          <w:sz w:val="25"/>
          <w:szCs w:val="25"/>
        </w:rPr>
        <w:t xml:space="preserve"> </w:t>
      </w:r>
      <w:r>
        <w:rPr>
          <w:sz w:val="25"/>
          <w:szCs w:val="25"/>
        </w:rPr>
        <w:t>января</w:t>
      </w:r>
      <w:r w:rsidRPr="009B3B7F" w:rsidR="00D84DA4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9B3B7F">
        <w:rPr>
          <w:sz w:val="25"/>
          <w:szCs w:val="25"/>
        </w:rPr>
        <w:t xml:space="preserve"> года</w:t>
      </w:r>
      <w:r w:rsidRPr="009B3B7F">
        <w:rPr>
          <w:sz w:val="25"/>
          <w:szCs w:val="25"/>
        </w:rPr>
        <w:tab/>
      </w:r>
      <w:r w:rsidRPr="009B3B7F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081B31">
        <w:rPr>
          <w:sz w:val="25"/>
          <w:szCs w:val="25"/>
        </w:rPr>
        <w:tab/>
      </w:r>
      <w:r w:rsidRPr="009B3B7F" w:rsidR="007D2D12">
        <w:rPr>
          <w:sz w:val="25"/>
          <w:szCs w:val="25"/>
        </w:rPr>
        <w:t xml:space="preserve">     </w:t>
      </w:r>
      <w:r w:rsidRPr="009B3B7F">
        <w:rPr>
          <w:sz w:val="25"/>
          <w:szCs w:val="25"/>
        </w:rPr>
        <w:t>г. Симферополь</w:t>
      </w:r>
    </w:p>
    <w:p w:rsidR="00BA4D72" w:rsidRPr="009B3B7F" w:rsidP="00802EAF">
      <w:pPr>
        <w:ind w:firstLine="567"/>
        <w:rPr>
          <w:sz w:val="25"/>
          <w:szCs w:val="25"/>
        </w:rPr>
      </w:pPr>
    </w:p>
    <w:p w:rsidR="00C43B19" w:rsidRPr="009B3B7F" w:rsidP="00802EAF">
      <w:pPr>
        <w:ind w:firstLine="567"/>
        <w:rPr>
          <w:sz w:val="25"/>
          <w:szCs w:val="25"/>
        </w:rPr>
      </w:pPr>
      <w:r w:rsidRPr="009B3B7F">
        <w:rPr>
          <w:sz w:val="25"/>
          <w:szCs w:val="25"/>
        </w:rPr>
        <w:t>М</w:t>
      </w:r>
      <w:r w:rsidRPr="009B3B7F">
        <w:rPr>
          <w:sz w:val="25"/>
          <w:szCs w:val="25"/>
        </w:rPr>
        <w:t>ировой судья судебного участка №</w:t>
      </w:r>
      <w:r w:rsidRPr="009B3B7F">
        <w:rPr>
          <w:sz w:val="25"/>
          <w:szCs w:val="25"/>
        </w:rPr>
        <w:t>79</w:t>
      </w:r>
      <w:r w:rsidRPr="009B3B7F">
        <w:rPr>
          <w:sz w:val="25"/>
          <w:szCs w:val="25"/>
        </w:rPr>
        <w:t xml:space="preserve"> Симферопольского судебного района (Симферопольский муниципальный район) Республики Крым </w:t>
      </w:r>
      <w:r w:rsidRPr="009B3B7F">
        <w:rPr>
          <w:sz w:val="25"/>
          <w:szCs w:val="25"/>
        </w:rPr>
        <w:t>Бора И.Ю.</w:t>
      </w:r>
      <w:r w:rsidRPr="009B3B7F">
        <w:rPr>
          <w:sz w:val="25"/>
          <w:szCs w:val="25"/>
        </w:rPr>
        <w:t>, рассмотрев дело об административном правонарушении в отношении:</w:t>
      </w:r>
    </w:p>
    <w:p w:rsidR="00A05B8A" w:rsidRPr="009B3B7F" w:rsidP="00D80F18">
      <w:pPr>
        <w:ind w:left="2268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 xml:space="preserve">Головченко </w:t>
      </w:r>
      <w:r w:rsidR="003E77FD">
        <w:rPr>
          <w:sz w:val="25"/>
          <w:szCs w:val="25"/>
        </w:rPr>
        <w:t>Г.Н.</w:t>
      </w:r>
      <w:r w:rsidRPr="009B3B7F" w:rsidR="00CC67FB">
        <w:rPr>
          <w:rFonts w:eastAsia="Times New Roman"/>
          <w:sz w:val="25"/>
          <w:szCs w:val="25"/>
        </w:rPr>
        <w:t>,</w:t>
      </w:r>
      <w:r w:rsidRPr="009B3B7F" w:rsidR="00CC67FB">
        <w:rPr>
          <w:rFonts w:eastAsia="Times New Roman"/>
          <w:b/>
          <w:sz w:val="25"/>
          <w:szCs w:val="25"/>
        </w:rPr>
        <w:t xml:space="preserve"> </w:t>
      </w:r>
      <w:r w:rsidR="003E77FD">
        <w:rPr>
          <w:rFonts w:eastAsia="Times New Roman"/>
          <w:sz w:val="25"/>
          <w:szCs w:val="25"/>
        </w:rPr>
        <w:t xml:space="preserve">*** </w:t>
      </w:r>
      <w:r w:rsidRPr="009B3B7F" w:rsidR="003650ED">
        <w:rPr>
          <w:rFonts w:eastAsia="Times New Roman"/>
          <w:sz w:val="25"/>
          <w:szCs w:val="25"/>
        </w:rPr>
        <w:t xml:space="preserve"> </w:t>
      </w:r>
      <w:r w:rsidRPr="009B3B7F" w:rsidR="00EC692B">
        <w:rPr>
          <w:rFonts w:eastAsia="Times New Roman"/>
          <w:sz w:val="25"/>
          <w:szCs w:val="25"/>
        </w:rPr>
        <w:t xml:space="preserve">года рождения, </w:t>
      </w:r>
      <w:r w:rsidRPr="009B3B7F" w:rsidR="00BA4D72">
        <w:rPr>
          <w:rFonts w:eastAsia="Times New Roman"/>
          <w:sz w:val="25"/>
          <w:szCs w:val="25"/>
        </w:rPr>
        <w:t>место рождения</w:t>
      </w:r>
      <w:r w:rsidRPr="009B3B7F" w:rsidR="004A3799">
        <w:rPr>
          <w:rFonts w:eastAsia="Times New Roman"/>
          <w:sz w:val="25"/>
          <w:szCs w:val="25"/>
        </w:rPr>
        <w:t>:</w:t>
      </w:r>
      <w:r w:rsidRPr="009B3B7F" w:rsidR="00FD0237">
        <w:rPr>
          <w:rFonts w:eastAsia="Times New Roman"/>
          <w:sz w:val="25"/>
          <w:szCs w:val="25"/>
        </w:rPr>
        <w:t xml:space="preserve"> </w:t>
      </w:r>
      <w:r w:rsidR="003E77FD">
        <w:rPr>
          <w:rFonts w:eastAsia="Times New Roman"/>
          <w:sz w:val="25"/>
          <w:szCs w:val="25"/>
        </w:rPr>
        <w:t>***</w:t>
      </w:r>
      <w:r w:rsidR="003E77FD">
        <w:rPr>
          <w:rFonts w:eastAsia="Times New Roman"/>
          <w:sz w:val="25"/>
          <w:szCs w:val="25"/>
        </w:rPr>
        <w:t xml:space="preserve"> </w:t>
      </w:r>
      <w:r w:rsidRPr="009B3B7F" w:rsidR="00CC67FB">
        <w:rPr>
          <w:rFonts w:eastAsia="Times New Roman"/>
          <w:sz w:val="25"/>
          <w:szCs w:val="25"/>
        </w:rPr>
        <w:t>,</w:t>
      </w:r>
      <w:r w:rsidRPr="009B3B7F" w:rsidR="00CC67FB">
        <w:rPr>
          <w:rFonts w:eastAsia="Times New Roman"/>
          <w:sz w:val="25"/>
          <w:szCs w:val="25"/>
        </w:rPr>
        <w:t xml:space="preserve"> </w:t>
      </w:r>
      <w:r w:rsidR="00BE10BA">
        <w:rPr>
          <w:rFonts w:eastAsia="Times New Roman"/>
          <w:sz w:val="25"/>
          <w:szCs w:val="25"/>
        </w:rPr>
        <w:t>водительское удостоверение</w:t>
      </w:r>
      <w:r w:rsidRPr="009B3B7F" w:rsidR="007D2D12">
        <w:rPr>
          <w:rFonts w:eastAsia="Times New Roman"/>
          <w:sz w:val="25"/>
          <w:szCs w:val="25"/>
        </w:rPr>
        <w:t xml:space="preserve">: </w:t>
      </w:r>
      <w:r w:rsidR="003E77FD">
        <w:rPr>
          <w:rFonts w:eastAsia="Times New Roman"/>
          <w:sz w:val="25"/>
          <w:szCs w:val="25"/>
        </w:rPr>
        <w:t xml:space="preserve">*** </w:t>
      </w:r>
      <w:r w:rsidR="00BE10BA">
        <w:rPr>
          <w:rFonts w:eastAsia="Times New Roman"/>
          <w:sz w:val="25"/>
          <w:szCs w:val="25"/>
        </w:rPr>
        <w:t xml:space="preserve">, дата выдачи: </w:t>
      </w:r>
      <w:r w:rsidR="003E77FD">
        <w:rPr>
          <w:rFonts w:eastAsia="Times New Roman"/>
          <w:sz w:val="25"/>
          <w:szCs w:val="25"/>
        </w:rPr>
        <w:t xml:space="preserve">*** </w:t>
      </w:r>
      <w:r w:rsidRPr="009B3B7F" w:rsidR="00CC67FB">
        <w:rPr>
          <w:rFonts w:eastAsia="Times New Roman"/>
          <w:sz w:val="25"/>
          <w:szCs w:val="25"/>
        </w:rPr>
        <w:t xml:space="preserve">, </w:t>
      </w:r>
      <w:r w:rsidRPr="009B3B7F" w:rsidR="00B25301">
        <w:rPr>
          <w:rFonts w:eastAsia="Times New Roman"/>
          <w:sz w:val="25"/>
          <w:szCs w:val="25"/>
        </w:rPr>
        <w:t>зарегистрированного</w:t>
      </w:r>
      <w:r w:rsidR="00BE10BA">
        <w:rPr>
          <w:rFonts w:eastAsia="Times New Roman"/>
          <w:sz w:val="25"/>
          <w:szCs w:val="25"/>
        </w:rPr>
        <w:t xml:space="preserve"> и проживающего</w:t>
      </w:r>
      <w:r w:rsidRPr="009B3B7F" w:rsidR="00B25301">
        <w:rPr>
          <w:rFonts w:eastAsia="Times New Roman"/>
          <w:sz w:val="25"/>
          <w:szCs w:val="25"/>
        </w:rPr>
        <w:t xml:space="preserve"> по адресу: </w:t>
      </w:r>
      <w:r w:rsidR="003E77FD">
        <w:rPr>
          <w:rFonts w:eastAsia="Times New Roman"/>
          <w:sz w:val="25"/>
          <w:szCs w:val="25"/>
        </w:rPr>
        <w:t xml:space="preserve">*** </w:t>
      </w:r>
      <w:r w:rsidRPr="009B3B7F" w:rsidR="00C43B19">
        <w:rPr>
          <w:rFonts w:eastAsia="Times New Roman"/>
          <w:sz w:val="25"/>
          <w:szCs w:val="25"/>
        </w:rPr>
        <w:t xml:space="preserve"> </w:t>
      </w:r>
      <w:r w:rsidRPr="009B3B7F" w:rsidR="00CC67FB">
        <w:rPr>
          <w:rFonts w:eastAsia="Times New Roman"/>
          <w:sz w:val="25"/>
          <w:szCs w:val="25"/>
        </w:rPr>
        <w:t>по ч.</w:t>
      </w:r>
      <w:r w:rsidR="00BE10BA">
        <w:rPr>
          <w:rFonts w:eastAsia="Times New Roman"/>
          <w:sz w:val="25"/>
          <w:szCs w:val="25"/>
        </w:rPr>
        <w:t>1</w:t>
      </w:r>
      <w:r w:rsidRPr="009B3B7F" w:rsidR="00CC67FB">
        <w:rPr>
          <w:rFonts w:eastAsia="Times New Roman"/>
          <w:sz w:val="25"/>
          <w:szCs w:val="25"/>
        </w:rPr>
        <w:t xml:space="preserve"> ст.1</w:t>
      </w:r>
      <w:r w:rsidRPr="009B3B7F" w:rsidR="001F183D">
        <w:rPr>
          <w:rFonts w:eastAsia="Times New Roman"/>
          <w:sz w:val="25"/>
          <w:szCs w:val="25"/>
        </w:rPr>
        <w:t>2</w:t>
      </w:r>
      <w:r w:rsidRPr="009B3B7F" w:rsidR="00CC67FB">
        <w:rPr>
          <w:rFonts w:eastAsia="Times New Roman"/>
          <w:sz w:val="25"/>
          <w:szCs w:val="25"/>
        </w:rPr>
        <w:t>.</w:t>
      </w:r>
      <w:r w:rsidRPr="009B3B7F" w:rsidR="001F183D">
        <w:rPr>
          <w:rFonts w:eastAsia="Times New Roman"/>
          <w:sz w:val="25"/>
          <w:szCs w:val="25"/>
        </w:rPr>
        <w:t>2</w:t>
      </w:r>
      <w:r w:rsidRPr="009B3B7F" w:rsidR="00CC67FB">
        <w:rPr>
          <w:rFonts w:eastAsia="Times New Roman"/>
          <w:sz w:val="25"/>
          <w:szCs w:val="25"/>
        </w:rPr>
        <w:t>1</w:t>
      </w:r>
      <w:r w:rsidRPr="009B3B7F" w:rsidR="001F183D">
        <w:rPr>
          <w:rFonts w:eastAsia="Times New Roman"/>
          <w:sz w:val="25"/>
          <w:szCs w:val="25"/>
        </w:rPr>
        <w:t>.</w:t>
      </w:r>
      <w:r w:rsidR="00BE10BA">
        <w:rPr>
          <w:rFonts w:eastAsia="Times New Roman"/>
          <w:sz w:val="25"/>
          <w:szCs w:val="25"/>
        </w:rPr>
        <w:t>2</w:t>
      </w:r>
      <w:r w:rsidRPr="009B3B7F" w:rsidR="00CC67FB">
        <w:rPr>
          <w:rFonts w:eastAsia="Times New Roman"/>
          <w:i/>
          <w:sz w:val="25"/>
          <w:szCs w:val="25"/>
        </w:rPr>
        <w:t xml:space="preserve"> </w:t>
      </w:r>
      <w:r w:rsidRPr="009B3B7F" w:rsidR="00CC67FB">
        <w:rPr>
          <w:rFonts w:eastAsia="Times New Roman"/>
          <w:sz w:val="25"/>
          <w:szCs w:val="25"/>
        </w:rPr>
        <w:t>КоАП РФ,</w:t>
      </w:r>
    </w:p>
    <w:p w:rsidR="00CC67FB" w:rsidRPr="009B3B7F" w:rsidP="00802EAF">
      <w:pPr>
        <w:ind w:firstLine="567"/>
        <w:jc w:val="center"/>
        <w:rPr>
          <w:rFonts w:eastAsia="Times New Roman"/>
          <w:b/>
          <w:sz w:val="25"/>
          <w:szCs w:val="25"/>
        </w:rPr>
      </w:pPr>
      <w:r w:rsidRPr="009B3B7F">
        <w:rPr>
          <w:rFonts w:eastAsia="Times New Roman"/>
          <w:b/>
          <w:sz w:val="25"/>
          <w:szCs w:val="25"/>
        </w:rPr>
        <w:t>УСТАНОВИЛ:</w:t>
      </w:r>
    </w:p>
    <w:p w:rsidR="001F183D" w:rsidRPr="009B3B7F" w:rsidP="00802EAF">
      <w:pPr>
        <w:ind w:firstLine="567"/>
        <w:jc w:val="center"/>
        <w:rPr>
          <w:rFonts w:eastAsia="Times New Roman"/>
          <w:b/>
          <w:sz w:val="25"/>
          <w:szCs w:val="25"/>
        </w:rPr>
      </w:pPr>
    </w:p>
    <w:p w:rsidR="002D3A16" w:rsidP="00FE7EA4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Головченко Г</w:t>
      </w:r>
      <w:r w:rsidRPr="009B3B7F" w:rsidR="001F183D">
        <w:rPr>
          <w:sz w:val="25"/>
          <w:szCs w:val="25"/>
        </w:rPr>
        <w:t>.</w:t>
      </w:r>
      <w:r>
        <w:rPr>
          <w:sz w:val="25"/>
          <w:szCs w:val="25"/>
        </w:rPr>
        <w:t>Н</w:t>
      </w:r>
      <w:r w:rsidRPr="009B3B7F" w:rsidR="001F183D">
        <w:rPr>
          <w:sz w:val="25"/>
          <w:szCs w:val="25"/>
        </w:rPr>
        <w:t xml:space="preserve">., </w:t>
      </w:r>
      <w:r>
        <w:rPr>
          <w:sz w:val="25"/>
          <w:szCs w:val="25"/>
        </w:rPr>
        <w:t>15</w:t>
      </w:r>
      <w:r w:rsidRPr="009B3B7F" w:rsidR="001F183D">
        <w:rPr>
          <w:sz w:val="25"/>
          <w:szCs w:val="25"/>
        </w:rPr>
        <w:t>.</w:t>
      </w:r>
      <w:r>
        <w:rPr>
          <w:sz w:val="25"/>
          <w:szCs w:val="25"/>
        </w:rPr>
        <w:t>11</w:t>
      </w:r>
      <w:r w:rsidRPr="009B3B7F" w:rsidR="001F183D">
        <w:rPr>
          <w:sz w:val="25"/>
          <w:szCs w:val="25"/>
        </w:rPr>
        <w:t>.202</w:t>
      </w:r>
      <w:r>
        <w:rPr>
          <w:sz w:val="25"/>
          <w:szCs w:val="25"/>
        </w:rPr>
        <w:t>4</w:t>
      </w:r>
      <w:r w:rsidRPr="009B3B7F" w:rsidR="001F183D">
        <w:rPr>
          <w:sz w:val="25"/>
          <w:szCs w:val="25"/>
        </w:rPr>
        <w:t xml:space="preserve"> года в </w:t>
      </w:r>
      <w:r>
        <w:rPr>
          <w:sz w:val="25"/>
          <w:szCs w:val="25"/>
        </w:rPr>
        <w:t>21</w:t>
      </w:r>
      <w:r w:rsidRPr="009B3B7F" w:rsidR="001F183D">
        <w:rPr>
          <w:sz w:val="25"/>
          <w:szCs w:val="25"/>
        </w:rPr>
        <w:t xml:space="preserve"> час. </w:t>
      </w:r>
      <w:r>
        <w:rPr>
          <w:sz w:val="25"/>
          <w:szCs w:val="25"/>
        </w:rPr>
        <w:t>45</w:t>
      </w:r>
      <w:r w:rsidRPr="009B3B7F" w:rsidR="001F183D">
        <w:rPr>
          <w:sz w:val="25"/>
          <w:szCs w:val="25"/>
        </w:rPr>
        <w:t xml:space="preserve"> мин., по адресу: </w:t>
      </w:r>
      <w:r w:rsidRPr="009B3B7F" w:rsidR="005A05F3">
        <w:rPr>
          <w:sz w:val="25"/>
          <w:szCs w:val="25"/>
        </w:rPr>
        <w:t xml:space="preserve">г. </w:t>
      </w:r>
      <w:r>
        <w:rPr>
          <w:sz w:val="25"/>
          <w:szCs w:val="25"/>
        </w:rPr>
        <w:t>Липецк</w:t>
      </w:r>
      <w:r w:rsidRPr="009B3B7F" w:rsidR="00FE7EA4">
        <w:rPr>
          <w:sz w:val="25"/>
          <w:szCs w:val="25"/>
        </w:rPr>
        <w:t xml:space="preserve">, </w:t>
      </w:r>
      <w:r w:rsidR="001F1D34">
        <w:rPr>
          <w:sz w:val="25"/>
          <w:szCs w:val="25"/>
        </w:rPr>
        <w:t>пер</w:t>
      </w:r>
      <w:r>
        <w:rPr>
          <w:sz w:val="25"/>
          <w:szCs w:val="25"/>
        </w:rPr>
        <w:t>. Кулибина, 4</w:t>
      </w:r>
      <w:r w:rsidRPr="009B3B7F" w:rsidR="001F183D">
        <w:rPr>
          <w:sz w:val="25"/>
          <w:szCs w:val="25"/>
        </w:rPr>
        <w:t xml:space="preserve">, управлял </w:t>
      </w:r>
      <w:r w:rsidRPr="009B3B7F" w:rsidR="00FE7EA4">
        <w:rPr>
          <w:sz w:val="25"/>
          <w:szCs w:val="25"/>
        </w:rPr>
        <w:t xml:space="preserve">крупногабаритным </w:t>
      </w:r>
      <w:r w:rsidRPr="009B3B7F" w:rsidR="001F183D">
        <w:rPr>
          <w:sz w:val="25"/>
          <w:szCs w:val="25"/>
        </w:rPr>
        <w:t>транспортным средством</w:t>
      </w:r>
      <w:r w:rsidRPr="009B3B7F" w:rsidR="00FE7EA4">
        <w:rPr>
          <w:sz w:val="25"/>
          <w:szCs w:val="25"/>
        </w:rPr>
        <w:t xml:space="preserve"> </w:t>
      </w:r>
      <w:r w:rsidR="00E04810">
        <w:rPr>
          <w:sz w:val="25"/>
          <w:szCs w:val="25"/>
        </w:rPr>
        <w:t>КА</w:t>
      </w:r>
      <w:r w:rsidRPr="009B3B7F" w:rsidR="00FE7EA4">
        <w:rPr>
          <w:sz w:val="25"/>
          <w:szCs w:val="25"/>
        </w:rPr>
        <w:t>МАЗ</w:t>
      </w:r>
      <w:r w:rsidRPr="009B3B7F" w:rsidR="00230958">
        <w:rPr>
          <w:sz w:val="25"/>
          <w:szCs w:val="25"/>
        </w:rPr>
        <w:t xml:space="preserve">, государственный регистрационный номер </w:t>
      </w:r>
      <w:r w:rsidR="003E77FD">
        <w:rPr>
          <w:sz w:val="25"/>
          <w:szCs w:val="25"/>
        </w:rPr>
        <w:t xml:space="preserve">*** </w:t>
      </w:r>
      <w:r w:rsidRPr="009B3B7F" w:rsidR="00230958">
        <w:rPr>
          <w:sz w:val="25"/>
          <w:szCs w:val="25"/>
        </w:rPr>
        <w:t xml:space="preserve"> </w:t>
      </w:r>
      <w:r w:rsidRPr="009B3B7F" w:rsidR="001F183D">
        <w:rPr>
          <w:sz w:val="25"/>
          <w:szCs w:val="25"/>
        </w:rPr>
        <w:t>в составе полуприцепа</w:t>
      </w:r>
      <w:r w:rsidRPr="009B3B7F" w:rsidR="00230958">
        <w:rPr>
          <w:sz w:val="25"/>
          <w:szCs w:val="25"/>
        </w:rPr>
        <w:t xml:space="preserve">, государственный регистрационный номер </w:t>
      </w:r>
      <w:r w:rsidR="003E77FD">
        <w:rPr>
          <w:sz w:val="25"/>
          <w:szCs w:val="25"/>
        </w:rPr>
        <w:t>***</w:t>
      </w:r>
      <w:r w:rsidR="003E77FD">
        <w:rPr>
          <w:sz w:val="25"/>
          <w:szCs w:val="25"/>
        </w:rPr>
        <w:t xml:space="preserve"> </w:t>
      </w:r>
      <w:r w:rsidRPr="009B3B7F" w:rsidR="001F183D">
        <w:rPr>
          <w:sz w:val="25"/>
          <w:szCs w:val="25"/>
        </w:rPr>
        <w:t>,</w:t>
      </w:r>
      <w:r w:rsidRPr="009B3B7F" w:rsidR="001F183D">
        <w:rPr>
          <w:sz w:val="25"/>
          <w:szCs w:val="25"/>
        </w:rPr>
        <w:t xml:space="preserve"> перевозил </w:t>
      </w:r>
      <w:r w:rsidR="00E04810">
        <w:rPr>
          <w:sz w:val="25"/>
          <w:szCs w:val="25"/>
        </w:rPr>
        <w:t xml:space="preserve">опасный </w:t>
      </w:r>
      <w:r w:rsidRPr="009B3B7F" w:rsidR="001F183D">
        <w:rPr>
          <w:sz w:val="25"/>
          <w:szCs w:val="25"/>
        </w:rPr>
        <w:t xml:space="preserve">груз </w:t>
      </w:r>
      <w:r w:rsidR="005E3F74">
        <w:rPr>
          <w:sz w:val="25"/>
          <w:szCs w:val="25"/>
        </w:rPr>
        <w:t>«</w:t>
      </w:r>
      <w:r w:rsidR="00E04810">
        <w:rPr>
          <w:sz w:val="25"/>
          <w:szCs w:val="25"/>
        </w:rPr>
        <w:t>ООН 1203</w:t>
      </w:r>
      <w:r w:rsidR="005E3F74">
        <w:rPr>
          <w:sz w:val="25"/>
          <w:szCs w:val="25"/>
        </w:rPr>
        <w:t>»</w:t>
      </w:r>
      <w:r w:rsidR="00E04810">
        <w:rPr>
          <w:sz w:val="25"/>
          <w:szCs w:val="25"/>
        </w:rPr>
        <w:t xml:space="preserve"> бензин в </w:t>
      </w:r>
      <w:r w:rsidR="0047536B">
        <w:rPr>
          <w:sz w:val="25"/>
          <w:szCs w:val="25"/>
        </w:rPr>
        <w:t>количестве</w:t>
      </w:r>
      <w:r w:rsidR="00E04810">
        <w:rPr>
          <w:sz w:val="25"/>
          <w:szCs w:val="25"/>
        </w:rPr>
        <w:t xml:space="preserve"> 24454 кг</w:t>
      </w:r>
      <w:r w:rsidR="0047536B">
        <w:rPr>
          <w:sz w:val="25"/>
          <w:szCs w:val="25"/>
        </w:rPr>
        <w:t xml:space="preserve"> при отсутствии </w:t>
      </w:r>
      <w:r w:rsidR="00620065">
        <w:rPr>
          <w:sz w:val="25"/>
          <w:szCs w:val="25"/>
        </w:rPr>
        <w:t xml:space="preserve">на транспортном средстве </w:t>
      </w:r>
      <w:r w:rsidR="0047536B">
        <w:rPr>
          <w:sz w:val="25"/>
          <w:szCs w:val="25"/>
        </w:rPr>
        <w:t>противопожарного оборудования</w:t>
      </w:r>
      <w:r w:rsidR="00620065">
        <w:rPr>
          <w:sz w:val="25"/>
          <w:szCs w:val="25"/>
        </w:rPr>
        <w:t>, применяемого для ликвидации последствий согласно п. 8.1.4, п. 8.1.4.4 и п</w:t>
      </w:r>
      <w:r w:rsidRPr="009B3B7F" w:rsidR="001F183D">
        <w:rPr>
          <w:sz w:val="25"/>
          <w:szCs w:val="25"/>
        </w:rPr>
        <w:t>.</w:t>
      </w:r>
      <w:r w:rsidR="00620065">
        <w:rPr>
          <w:sz w:val="25"/>
          <w:szCs w:val="25"/>
        </w:rPr>
        <w:t xml:space="preserve"> 8.1.4.5 Соглашения о международной дорожной перевозке опасных грузов. Имевшиеся</w:t>
      </w:r>
      <w:r w:rsidR="00195A32">
        <w:rPr>
          <w:sz w:val="25"/>
          <w:szCs w:val="25"/>
        </w:rPr>
        <w:t xml:space="preserve"> на транспортном средстве огнетушители ОП-6 не перезаряжены и не </w:t>
      </w:r>
      <w:r w:rsidR="00195A32">
        <w:rPr>
          <w:sz w:val="25"/>
          <w:szCs w:val="25"/>
        </w:rPr>
        <w:t>поверены</w:t>
      </w:r>
      <w:r w:rsidR="00195A32">
        <w:rPr>
          <w:sz w:val="25"/>
          <w:szCs w:val="25"/>
        </w:rPr>
        <w:t xml:space="preserve"> в установленный срок согласно </w:t>
      </w:r>
      <w:r w:rsidRPr="002D3A16">
        <w:rPr>
          <w:sz w:val="25"/>
          <w:szCs w:val="25"/>
        </w:rPr>
        <w:t>"СП 9.13130.2009. Свод правил. Техника пожарная. Огнетушители. Требования к эксплуатации"</w:t>
      </w:r>
      <w:r w:rsidR="00195A32">
        <w:rPr>
          <w:sz w:val="25"/>
          <w:szCs w:val="25"/>
        </w:rPr>
        <w:t>, утвержденных приказом МЧС РФ от 25.03.2009 №179</w:t>
      </w:r>
      <w:r w:rsidR="008D25A3">
        <w:rPr>
          <w:sz w:val="25"/>
          <w:szCs w:val="25"/>
        </w:rPr>
        <w:t xml:space="preserve"> (далее – </w:t>
      </w:r>
      <w:r w:rsidRPr="002D3A16" w:rsidR="008D25A3">
        <w:rPr>
          <w:sz w:val="25"/>
          <w:szCs w:val="25"/>
        </w:rPr>
        <w:t>СП 9.13130.2009</w:t>
      </w:r>
      <w:r w:rsidR="008D25A3">
        <w:rPr>
          <w:sz w:val="25"/>
          <w:szCs w:val="25"/>
        </w:rPr>
        <w:t>)</w:t>
      </w:r>
      <w:r w:rsidR="00195A32">
        <w:rPr>
          <w:sz w:val="25"/>
          <w:szCs w:val="25"/>
        </w:rPr>
        <w:t>.</w:t>
      </w:r>
      <w:r w:rsidRPr="009B3B7F" w:rsidR="001F183D">
        <w:rPr>
          <w:sz w:val="25"/>
          <w:szCs w:val="25"/>
        </w:rPr>
        <w:t xml:space="preserve"> </w:t>
      </w:r>
    </w:p>
    <w:p w:rsidR="00130FC5" w:rsidRPr="00130FC5" w:rsidP="00130FC5">
      <w:pPr>
        <w:pStyle w:val="ConsPlusNormal"/>
        <w:ind w:firstLine="540"/>
        <w:jc w:val="both"/>
        <w:rPr>
          <w:sz w:val="25"/>
          <w:szCs w:val="25"/>
        </w:rPr>
      </w:pPr>
      <w:r w:rsidRPr="00130FC5">
        <w:rPr>
          <w:sz w:val="25"/>
          <w:szCs w:val="25"/>
        </w:rPr>
        <w:t>В судебное заседание Головченко Г.Н. не явился о дате месте и времени проведения судебного заседания уведомлен надлежащим образом.</w:t>
      </w:r>
    </w:p>
    <w:p w:rsidR="00130FC5" w:rsidP="00130FC5">
      <w:pPr>
        <w:pStyle w:val="ConsPlusNormal"/>
        <w:ind w:firstLine="540"/>
        <w:jc w:val="both"/>
        <w:rPr>
          <w:sz w:val="25"/>
          <w:szCs w:val="25"/>
        </w:rPr>
      </w:pPr>
      <w:r w:rsidRPr="00130FC5">
        <w:rPr>
          <w:sz w:val="25"/>
          <w:szCs w:val="25"/>
        </w:rPr>
        <w:t xml:space="preserve">В судебное заседание защитник </w:t>
      </w:r>
      <w:r>
        <w:rPr>
          <w:sz w:val="25"/>
          <w:szCs w:val="25"/>
        </w:rPr>
        <w:t>Ремезкова</w:t>
      </w:r>
      <w:r>
        <w:rPr>
          <w:sz w:val="25"/>
          <w:szCs w:val="25"/>
        </w:rPr>
        <w:t xml:space="preserve"> О.А.</w:t>
      </w:r>
      <w:r w:rsidRPr="00130FC5">
        <w:rPr>
          <w:sz w:val="25"/>
          <w:szCs w:val="25"/>
        </w:rPr>
        <w:t xml:space="preserve"> вину своего подзащитного не признал</w:t>
      </w:r>
      <w:r>
        <w:rPr>
          <w:sz w:val="25"/>
          <w:szCs w:val="25"/>
        </w:rPr>
        <w:t>а</w:t>
      </w:r>
      <w:r w:rsidRPr="00130FC5">
        <w:rPr>
          <w:sz w:val="25"/>
          <w:szCs w:val="25"/>
        </w:rPr>
        <w:t>,</w:t>
      </w:r>
      <w:r w:rsidR="000F7C00">
        <w:rPr>
          <w:sz w:val="25"/>
          <w:szCs w:val="25"/>
        </w:rPr>
        <w:t xml:space="preserve"> просила прекратить производство по делу,</w:t>
      </w:r>
      <w:r w:rsidRPr="00130FC5">
        <w:rPr>
          <w:sz w:val="25"/>
          <w:szCs w:val="25"/>
        </w:rPr>
        <w:t xml:space="preserve"> </w:t>
      </w:r>
      <w:r w:rsidR="000F7C00">
        <w:rPr>
          <w:sz w:val="25"/>
          <w:szCs w:val="25"/>
        </w:rPr>
        <w:t>поскольку</w:t>
      </w:r>
      <w:r w:rsidRPr="00130FC5">
        <w:rPr>
          <w:sz w:val="25"/>
          <w:szCs w:val="25"/>
        </w:rPr>
        <w:t xml:space="preserve"> </w:t>
      </w:r>
      <w:r w:rsidR="008221DB">
        <w:rPr>
          <w:sz w:val="25"/>
          <w:szCs w:val="25"/>
        </w:rPr>
        <w:t xml:space="preserve">Головченко Г.Н. не нарушал действующее законодательство, требования, установленные ст. 29 </w:t>
      </w:r>
      <w:r w:rsidRPr="0003516E" w:rsidR="00D72DDE">
        <w:rPr>
          <w:sz w:val="25"/>
          <w:szCs w:val="25"/>
        </w:rPr>
        <w:t>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N 257-ФЗ</w:t>
      </w:r>
      <w:r w:rsidR="00D72DDE">
        <w:rPr>
          <w:sz w:val="25"/>
          <w:szCs w:val="25"/>
        </w:rPr>
        <w:t xml:space="preserve"> (далее –  ФЗ №257)</w:t>
      </w:r>
      <w:r w:rsidR="008221DB">
        <w:rPr>
          <w:sz w:val="25"/>
          <w:szCs w:val="25"/>
        </w:rPr>
        <w:t xml:space="preserve"> были соблюдены</w:t>
      </w:r>
      <w:r w:rsidR="008221DB">
        <w:rPr>
          <w:sz w:val="25"/>
          <w:szCs w:val="25"/>
        </w:rPr>
        <w:t>, специальное разрешение, требуемое ч. 1 ст. 31.3</w:t>
      </w:r>
      <w:r w:rsidR="00D72DDE">
        <w:rPr>
          <w:sz w:val="25"/>
          <w:szCs w:val="25"/>
        </w:rPr>
        <w:t xml:space="preserve"> ФЗ №257</w:t>
      </w:r>
      <w:r w:rsidR="0003516E">
        <w:rPr>
          <w:sz w:val="25"/>
          <w:szCs w:val="25"/>
        </w:rPr>
        <w:t xml:space="preserve">, </w:t>
      </w:r>
      <w:r w:rsidR="0003516E">
        <w:rPr>
          <w:sz w:val="25"/>
          <w:szCs w:val="25"/>
        </w:rPr>
        <w:t>имелось и было</w:t>
      </w:r>
      <w:r w:rsidR="0003516E">
        <w:rPr>
          <w:sz w:val="25"/>
          <w:szCs w:val="25"/>
        </w:rPr>
        <w:t xml:space="preserve"> действующим, маршрут следования соответствовал маршруту №24, утвержденному в специальном разрешении 82 №001860 от 10.01.2024.</w:t>
      </w:r>
    </w:p>
    <w:p w:rsidR="008A74F5" w:rsidRPr="009B3B7F" w:rsidP="00FE7EA4">
      <w:pPr>
        <w:pStyle w:val="ConsPlusNormal"/>
        <w:ind w:firstLine="540"/>
        <w:jc w:val="both"/>
        <w:rPr>
          <w:sz w:val="25"/>
          <w:szCs w:val="25"/>
        </w:rPr>
      </w:pPr>
      <w:r w:rsidRPr="009B3B7F">
        <w:rPr>
          <w:sz w:val="25"/>
          <w:szCs w:val="25"/>
        </w:rPr>
        <w:t xml:space="preserve">Исследовав материалы дела, мировой судья приходит к следующему. </w:t>
      </w:r>
    </w:p>
    <w:p w:rsidR="001F183D" w:rsidRPr="009B3B7F" w:rsidP="00FE7EA4">
      <w:pPr>
        <w:pStyle w:val="ConsPlusNormal"/>
        <w:ind w:firstLine="540"/>
        <w:jc w:val="both"/>
        <w:rPr>
          <w:sz w:val="25"/>
          <w:szCs w:val="25"/>
        </w:rPr>
      </w:pPr>
      <w:r w:rsidRPr="009B3B7F">
        <w:rPr>
          <w:sz w:val="25"/>
          <w:szCs w:val="25"/>
        </w:rPr>
        <w:t xml:space="preserve">Объективной стороной административного правонарушения, предусмотренного ч. </w:t>
      </w:r>
      <w:r w:rsidR="0003516E">
        <w:rPr>
          <w:sz w:val="25"/>
          <w:szCs w:val="25"/>
        </w:rPr>
        <w:t>1</w:t>
      </w:r>
      <w:r w:rsidRPr="009B3B7F">
        <w:rPr>
          <w:sz w:val="25"/>
          <w:szCs w:val="25"/>
        </w:rPr>
        <w:t xml:space="preserve"> ст. 12.21.</w:t>
      </w:r>
      <w:r w:rsidR="0003516E">
        <w:rPr>
          <w:sz w:val="25"/>
          <w:szCs w:val="25"/>
        </w:rPr>
        <w:t>2</w:t>
      </w:r>
      <w:r w:rsidRPr="009B3B7F">
        <w:rPr>
          <w:sz w:val="25"/>
          <w:szCs w:val="25"/>
        </w:rPr>
        <w:t xml:space="preserve"> КоАП РФ, является </w:t>
      </w:r>
      <w:r w:rsidR="0003516E">
        <w:rPr>
          <w:sz w:val="25"/>
          <w:szCs w:val="25"/>
        </w:rPr>
        <w:t>п</w:t>
      </w:r>
      <w:r w:rsidRPr="0003516E" w:rsidR="0003516E">
        <w:rPr>
          <w:sz w:val="25"/>
          <w:szCs w:val="25"/>
        </w:rPr>
        <w:t>еревозка опасных грузов водителем, не имеющим свидетельства о подготовке водителей транспортных средств, перевозящих опасные грузы, свидетельства о допуске транспортного средства к перевозке опасных грузов, специального разрешения или аварийной карточки системы информации об опасности, предусмотренных правилами перевозки опасных грузов, а равно перевозка опасных грузов на транспортном средстве, конструкция которого</w:t>
      </w:r>
      <w:r w:rsidRPr="0003516E" w:rsidR="0003516E">
        <w:rPr>
          <w:sz w:val="25"/>
          <w:szCs w:val="25"/>
        </w:rPr>
        <w:t xml:space="preserve"> не соответствует требованиям правил перевозки опасных грузов или на </w:t>
      </w:r>
      <w:r w:rsidRPr="0003516E" w:rsidR="0003516E">
        <w:rPr>
          <w:sz w:val="25"/>
          <w:szCs w:val="25"/>
        </w:rPr>
        <w:t>котором</w:t>
      </w:r>
      <w:r w:rsidRPr="0003516E" w:rsidR="0003516E">
        <w:rPr>
          <w:sz w:val="25"/>
          <w:szCs w:val="25"/>
        </w:rPr>
        <w:t xml:space="preserve"> отсутствуют элементы системы информации об опасности либо оборудование или средства, применяемые для ликвидации последствий происшествия при перевозке опасных грузов, либо несоблюдение условий перевозки опасных грузов, предусмотренных указанными правилами</w:t>
      </w:r>
      <w:r w:rsidRPr="009B3B7F">
        <w:rPr>
          <w:sz w:val="25"/>
          <w:szCs w:val="25"/>
        </w:rPr>
        <w:t>.</w:t>
      </w:r>
    </w:p>
    <w:p w:rsidR="001F183D" w:rsidRPr="009B3B7F" w:rsidP="001F183D">
      <w:pPr>
        <w:pStyle w:val="ConsPlusNormal"/>
        <w:ind w:firstLine="540"/>
        <w:jc w:val="both"/>
        <w:rPr>
          <w:sz w:val="25"/>
          <w:szCs w:val="25"/>
        </w:rPr>
      </w:pPr>
      <w:r w:rsidRPr="009B3B7F">
        <w:rPr>
          <w:sz w:val="25"/>
          <w:szCs w:val="25"/>
        </w:rPr>
        <w:t xml:space="preserve">В соответствии с п. 23.5 ПДД РФ движение тяжеловесного и (или) крупногабаритного транспортного средства, а также транспортного средства, осуществляющего перевозки опасных грузов, осуществляется с учетом требований </w:t>
      </w:r>
      <w:r w:rsidR="00D72DDE">
        <w:rPr>
          <w:sz w:val="25"/>
          <w:szCs w:val="25"/>
        </w:rPr>
        <w:t>ФЗ</w:t>
      </w:r>
      <w:r w:rsidRPr="009B3B7F">
        <w:rPr>
          <w:sz w:val="25"/>
          <w:szCs w:val="25"/>
        </w:rPr>
        <w:t xml:space="preserve"> </w:t>
      </w:r>
      <w:r w:rsidRPr="009B3B7F" w:rsidR="008A74F5">
        <w:rPr>
          <w:sz w:val="25"/>
          <w:szCs w:val="25"/>
        </w:rPr>
        <w:t>№</w:t>
      </w:r>
      <w:r w:rsidRPr="009B3B7F">
        <w:rPr>
          <w:sz w:val="25"/>
          <w:szCs w:val="25"/>
        </w:rPr>
        <w:t xml:space="preserve"> 257-ФЗ.</w:t>
      </w:r>
    </w:p>
    <w:p w:rsidR="008D25A3" w:rsidP="00120A07">
      <w:pPr>
        <w:pStyle w:val="ConsPlusNormal"/>
        <w:ind w:firstLine="540"/>
        <w:jc w:val="both"/>
        <w:rPr>
          <w:sz w:val="25"/>
          <w:szCs w:val="25"/>
        </w:rPr>
      </w:pPr>
      <w:r w:rsidRPr="008D25A3">
        <w:rPr>
          <w:sz w:val="25"/>
          <w:szCs w:val="25"/>
        </w:rPr>
        <w:t>Согласно Европейскому соглашению о международной дорожной перевозке опасных грузов</w:t>
      </w:r>
      <w:r w:rsidR="00866D5E">
        <w:rPr>
          <w:sz w:val="25"/>
          <w:szCs w:val="25"/>
        </w:rPr>
        <w:t xml:space="preserve"> (далее – ДОПОГ)</w:t>
      </w:r>
      <w:r w:rsidRPr="008D25A3">
        <w:rPr>
          <w:sz w:val="25"/>
          <w:szCs w:val="25"/>
        </w:rPr>
        <w:t xml:space="preserve"> огнетушители должны подвергаться проверкам в соответствии с утвержденными национальными стандартами</w:t>
      </w:r>
      <w:r w:rsidR="00866D5E">
        <w:rPr>
          <w:sz w:val="25"/>
          <w:szCs w:val="25"/>
        </w:rPr>
        <w:t xml:space="preserve"> </w:t>
      </w:r>
      <w:r w:rsidRPr="008D25A3" w:rsidR="00866D5E">
        <w:rPr>
          <w:sz w:val="25"/>
          <w:szCs w:val="25"/>
        </w:rPr>
        <w:t>(п. 8.1.4.4.)</w:t>
      </w:r>
      <w:r w:rsidRPr="008D25A3">
        <w:rPr>
          <w:sz w:val="25"/>
          <w:szCs w:val="25"/>
        </w:rPr>
        <w:t xml:space="preserve">. Согласно п. 4.4.7 </w:t>
      </w:r>
      <w:r w:rsidRPr="002D3A16">
        <w:rPr>
          <w:sz w:val="25"/>
          <w:szCs w:val="25"/>
        </w:rPr>
        <w:t>СП 9.13130.2009</w:t>
      </w:r>
      <w:r w:rsidRPr="008D25A3">
        <w:rPr>
          <w:sz w:val="25"/>
          <w:szCs w:val="25"/>
        </w:rPr>
        <w:t xml:space="preserve">, порошковые огнетушители, установленные на транспортных средствах вне </w:t>
      </w:r>
      <w:r w:rsidRPr="008D25A3">
        <w:rPr>
          <w:sz w:val="25"/>
          <w:szCs w:val="25"/>
        </w:rPr>
        <w:t>кабины или салона и подвергающиеся воздействию неблагоприятных климатических и (или) физических факторов, должны перезаряжаться не реже 1 раза в год, остальные огнетушители, установленные на транспортных средствах, - не реже одного раза в два года. Согласно приложению "В" "Использование огнетушителей на автотранспортных средствах (АТС</w:t>
      </w:r>
      <w:r>
        <w:rPr>
          <w:sz w:val="25"/>
          <w:szCs w:val="25"/>
        </w:rPr>
        <w:t>)</w:t>
      </w:r>
      <w:r w:rsidRPr="008D25A3">
        <w:rPr>
          <w:sz w:val="25"/>
          <w:szCs w:val="25"/>
        </w:rPr>
        <w:t xml:space="preserve"> </w:t>
      </w:r>
      <w:r w:rsidRPr="002D3A16">
        <w:rPr>
          <w:sz w:val="25"/>
          <w:szCs w:val="25"/>
        </w:rPr>
        <w:t>СП 9.13130.2009</w:t>
      </w:r>
      <w:r w:rsidRPr="008D25A3">
        <w:rPr>
          <w:sz w:val="25"/>
          <w:szCs w:val="25"/>
        </w:rPr>
        <w:t xml:space="preserve"> огнетушители, размещаемые вне кабины, следует защищать от воздействия осадков, солнечных лучей и грязи (В.10.). Порошковые огнетушители, установленные на транспортных средствах вне кабины или салона и подвергающиеся воздействию неблагоприятных климатических и физических факторов, должны перезаряжаться не реже одного раза в 12 месяцев, остальные огнетушители - не реже одного раза в 24 месяца (В.12.).</w:t>
      </w:r>
    </w:p>
    <w:p w:rsidR="004C6AA7" w:rsidRPr="004C6AA7" w:rsidP="004C6AA7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 xml:space="preserve">О проведенном техническом обслуживании </w:t>
      </w:r>
      <w:r>
        <w:rPr>
          <w:sz w:val="25"/>
          <w:szCs w:val="25"/>
        </w:rPr>
        <w:t>делается отметка в паспорте, на корпусе (с помощью этикетки или</w:t>
      </w:r>
      <w:r w:rsidRPr="004C6AA7">
        <w:rPr>
          <w:sz w:val="25"/>
          <w:szCs w:val="25"/>
        </w:rPr>
        <w:t xml:space="preserve"> бирки) огнет</w:t>
      </w:r>
      <w:r>
        <w:rPr>
          <w:sz w:val="25"/>
          <w:szCs w:val="25"/>
        </w:rPr>
        <w:t xml:space="preserve">ушителя и производится запись в </w:t>
      </w:r>
      <w:r w:rsidRPr="004C6AA7">
        <w:rPr>
          <w:sz w:val="25"/>
          <w:szCs w:val="25"/>
        </w:rPr>
        <w:t>специальном жур</w:t>
      </w:r>
      <w:r>
        <w:rPr>
          <w:sz w:val="25"/>
          <w:szCs w:val="25"/>
        </w:rPr>
        <w:t xml:space="preserve">нале (п. 4.5.1 СП 9.13130.2009) </w:t>
      </w:r>
    </w:p>
    <w:p w:rsidR="004C6AA7" w:rsidP="004C6AA7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 xml:space="preserve">В соответствии с п. 8.1.4.5 ДОПОГ огнетушители должны устанавливаться на транспортных единицах таким образом, чтобы они в </w:t>
      </w:r>
      <w:r>
        <w:rPr>
          <w:sz w:val="25"/>
          <w:szCs w:val="25"/>
        </w:rPr>
        <w:t xml:space="preserve">любое время были </w:t>
      </w:r>
      <w:r>
        <w:rPr>
          <w:sz w:val="25"/>
          <w:szCs w:val="25"/>
        </w:rPr>
        <w:t>легко доступны</w:t>
      </w:r>
      <w:r>
        <w:rPr>
          <w:sz w:val="25"/>
          <w:szCs w:val="25"/>
        </w:rPr>
        <w:t xml:space="preserve"> </w:t>
      </w:r>
      <w:r w:rsidRPr="004C6AA7">
        <w:rPr>
          <w:sz w:val="25"/>
          <w:szCs w:val="25"/>
        </w:rPr>
        <w:t>для экипажа транспортного средства. Установка должна производиться так, чтобы огнетушители были защищены от воздействия погодных условий во избежание снижения их эксплуатационной надежности.</w:t>
      </w:r>
    </w:p>
    <w:p w:rsidR="004C6AA7" w:rsidP="004C6AA7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>Согласно п. 4.2.1, п. 4.2.9 СП 9.13130.2009 огнетушители следует располагать на защищаемом объекте в соответствии с требованиями ГОСТ 12.4.009 (раздел 2.3) таким образом, чтобы они были защищены от воздействия прямых солнечных лучей, тепловых потоков, механических воздействий и других неблагоприятных факторов (вибрация, агрессивная среда, повышенная влажность и т.д.), в местах, где значения температуры не выходят за температурный диапазон, указанный на</w:t>
      </w:r>
      <w:r w:rsidRPr="004C6AA7">
        <w:rPr>
          <w:sz w:val="25"/>
          <w:szCs w:val="25"/>
        </w:rPr>
        <w:t xml:space="preserve"> </w:t>
      </w:r>
      <w:r w:rsidRPr="004C6AA7">
        <w:rPr>
          <w:sz w:val="25"/>
          <w:szCs w:val="25"/>
        </w:rPr>
        <w:t>огнетушителях</w:t>
      </w:r>
      <w:r w:rsidRPr="004C6AA7">
        <w:rPr>
          <w:sz w:val="25"/>
          <w:szCs w:val="25"/>
        </w:rPr>
        <w:t>. Они должны быть хорошо видны и легкодоступны в случае пожара, предпочтительно - вблизи мест наиболее вероятного возникновения пожара, вдоль путей прохода, а также около выхода из помещения, и не должны препятствовать эвакуации людей во время пожара.</w:t>
      </w:r>
    </w:p>
    <w:p w:rsidR="004C6AA7" w:rsidP="004C6AA7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Пунктом 4.2.5 СП 9.13130.2009</w:t>
      </w:r>
      <w:r w:rsidRPr="004C6AA7">
        <w:rPr>
          <w:sz w:val="25"/>
          <w:szCs w:val="25"/>
        </w:rPr>
        <w:t xml:space="preserve"> рекомен</w:t>
      </w:r>
      <w:r>
        <w:rPr>
          <w:sz w:val="25"/>
          <w:szCs w:val="25"/>
        </w:rPr>
        <w:t xml:space="preserve">довано устанавливать переносные </w:t>
      </w:r>
      <w:r w:rsidRPr="004C6AA7">
        <w:rPr>
          <w:sz w:val="25"/>
          <w:szCs w:val="25"/>
        </w:rPr>
        <w:t>огнетушители на подвесных кронштейнах или в специальных шкафах и располагать их таким образом, чтобы основные надписи и пиктограммы, показывающие порядок приведения их в действие, были хорошо видны и обращены наружу или в сторону наиболее вероятного подхода к ним.</w:t>
      </w:r>
    </w:p>
    <w:p w:rsidR="0071770D" w:rsidRPr="004C6AA7" w:rsidP="0071770D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 xml:space="preserve">Как видно из </w:t>
      </w:r>
      <w:r>
        <w:rPr>
          <w:sz w:val="25"/>
          <w:szCs w:val="25"/>
        </w:rPr>
        <w:t>протокола об административном правонарушении</w:t>
      </w:r>
      <w:r w:rsidRPr="004C6AA7">
        <w:rPr>
          <w:sz w:val="25"/>
          <w:szCs w:val="25"/>
        </w:rPr>
        <w:t xml:space="preserve"> от 15.11.2024 и прилагаемой к данному ходатайству </w:t>
      </w:r>
      <w:r w:rsidRPr="004C6AA7">
        <w:rPr>
          <w:sz w:val="25"/>
          <w:szCs w:val="25"/>
        </w:rPr>
        <w:t>фототаблицы</w:t>
      </w:r>
      <w:r w:rsidRPr="004C6AA7">
        <w:rPr>
          <w:sz w:val="25"/>
          <w:szCs w:val="25"/>
        </w:rPr>
        <w:t>, транспортное средство на момент остановки и составления протокола было оснащено двумя огнетушителями ОП-6, то есть емкостью по 6 кг каждый, дата изготовления - сентябрь 2023 года, хранившихся на подвесных кронштейнах, инструкциями по эксплуатации наружу, в специальных закрывающихся герметичных ящиках (коробах), исключающих воздействие погодных условий, прямых солнечных</w:t>
      </w:r>
      <w:r w:rsidRPr="004C6AA7">
        <w:rPr>
          <w:sz w:val="25"/>
          <w:szCs w:val="25"/>
        </w:rPr>
        <w:t xml:space="preserve"> лучей, тепловых потоков, механических воздействий и других неблагоприятных факторов (вибрация, агрессивная среда, повышенная влажность и т.д.), нарушение диапазона температурного режима (не ниже-50</w:t>
      </w:r>
      <w:r w:rsidRPr="004C6AA7">
        <w:rPr>
          <w:sz w:val="25"/>
          <w:szCs w:val="25"/>
        </w:rPr>
        <w:t>°С</w:t>
      </w:r>
      <w:r w:rsidRPr="004C6AA7">
        <w:rPr>
          <w:sz w:val="25"/>
          <w:szCs w:val="25"/>
        </w:rPr>
        <w:t>, не выше +50°C).</w:t>
      </w:r>
    </w:p>
    <w:p w:rsidR="004C6AA7" w:rsidRPr="004C6AA7" w:rsidP="0071770D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В судебном заседании было установлено, что о</w:t>
      </w:r>
      <w:r w:rsidRPr="004C6AA7">
        <w:rPr>
          <w:sz w:val="25"/>
          <w:szCs w:val="25"/>
        </w:rPr>
        <w:t>ба короба изготовлены и установлены на полуприцепе заводом-изготовителем (информационное письм</w:t>
      </w:r>
      <w:r w:rsidRPr="004C6AA7">
        <w:rPr>
          <w:sz w:val="25"/>
          <w:szCs w:val="25"/>
        </w:rPr>
        <w:t>о ООО</w:t>
      </w:r>
      <w:r w:rsidRPr="004C6AA7">
        <w:rPr>
          <w:sz w:val="25"/>
          <w:szCs w:val="25"/>
        </w:rPr>
        <w:t xml:space="preserve"> «БОНУМ» от 20.12.2024 </w:t>
      </w:r>
      <w:r>
        <w:rPr>
          <w:sz w:val="25"/>
          <w:szCs w:val="25"/>
        </w:rPr>
        <w:t>№</w:t>
      </w:r>
      <w:r w:rsidRPr="004C6AA7">
        <w:rPr>
          <w:sz w:val="25"/>
          <w:szCs w:val="25"/>
        </w:rPr>
        <w:t xml:space="preserve"> 201224-ИК-01, спецификация к договору купли-продажи ТС от 03.08.2013 </w:t>
      </w:r>
      <w:r>
        <w:rPr>
          <w:sz w:val="25"/>
          <w:szCs w:val="25"/>
        </w:rPr>
        <w:t>№</w:t>
      </w:r>
      <w:r w:rsidRPr="004C6AA7">
        <w:rPr>
          <w:sz w:val="25"/>
          <w:szCs w:val="25"/>
        </w:rPr>
        <w:t>Ц32448-ЛРН), расположены в передней части полуприцепа, по бокам, передняя крышка (дверца) каждого короба - прозрачная. Благодаря месторасположению этих ящиков (коробов) и их конструкции оба огнетушителя хорошо видны и легкодоступны в случае пожара, находятся вблизи мест наиболее вероятного возникновения пожара, вдоль путей прохода, и н</w:t>
      </w:r>
      <w:r>
        <w:rPr>
          <w:sz w:val="25"/>
          <w:szCs w:val="25"/>
        </w:rPr>
        <w:t xml:space="preserve">е препятствуют эвакуации людей. </w:t>
      </w:r>
      <w:r w:rsidRPr="004C6AA7">
        <w:rPr>
          <w:sz w:val="25"/>
          <w:szCs w:val="25"/>
        </w:rPr>
        <w:t xml:space="preserve">Оба огнетушителя надлежаще маркированы, </w:t>
      </w:r>
      <w:r>
        <w:rPr>
          <w:sz w:val="25"/>
          <w:szCs w:val="25"/>
        </w:rPr>
        <w:t xml:space="preserve">опломбированы, следов нарушения </w:t>
      </w:r>
      <w:r w:rsidRPr="004C6AA7">
        <w:rPr>
          <w:sz w:val="25"/>
          <w:szCs w:val="25"/>
        </w:rPr>
        <w:t>пломб не имее</w:t>
      </w:r>
      <w:r>
        <w:rPr>
          <w:sz w:val="25"/>
          <w:szCs w:val="25"/>
        </w:rPr>
        <w:t xml:space="preserve">тся. </w:t>
      </w:r>
    </w:p>
    <w:p w:rsidR="004C6AA7" w:rsidRPr="004C6AA7" w:rsidP="0071770D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30.09.2024 </w:t>
      </w:r>
      <w:r w:rsidRPr="004C6AA7">
        <w:rPr>
          <w:sz w:val="25"/>
          <w:szCs w:val="25"/>
        </w:rPr>
        <w:t>оба огнетушителя прошли техническое обслуживание без перезарядки огнетушащего вещества (</w:t>
      </w:r>
      <w:r w:rsidRPr="004C6AA7">
        <w:rPr>
          <w:sz w:val="25"/>
          <w:szCs w:val="25"/>
        </w:rPr>
        <w:t>ОТВ</w:t>
      </w:r>
      <w:r w:rsidRPr="004C6AA7">
        <w:rPr>
          <w:sz w:val="25"/>
          <w:szCs w:val="25"/>
        </w:rPr>
        <w:t xml:space="preserve">), о чем свидетельствуют </w:t>
      </w:r>
      <w:r w:rsidRPr="004C6AA7">
        <w:rPr>
          <w:sz w:val="25"/>
          <w:szCs w:val="25"/>
        </w:rPr>
        <w:t>соответствующие</w:t>
      </w:r>
      <w:r w:rsidRPr="004C6AA7">
        <w:rPr>
          <w:sz w:val="25"/>
          <w:szCs w:val="25"/>
        </w:rPr>
        <w:t xml:space="preserve"> наклейки </w:t>
      </w:r>
      <w:r>
        <w:rPr>
          <w:sz w:val="25"/>
          <w:szCs w:val="25"/>
        </w:rPr>
        <w:br/>
      </w:r>
      <w:r w:rsidRPr="004C6AA7">
        <w:rPr>
          <w:sz w:val="25"/>
          <w:szCs w:val="25"/>
        </w:rPr>
        <w:t xml:space="preserve">ИП </w:t>
      </w:r>
      <w:r w:rsidRPr="004C6AA7">
        <w:rPr>
          <w:sz w:val="25"/>
          <w:szCs w:val="25"/>
        </w:rPr>
        <w:t>Сапожкова</w:t>
      </w:r>
      <w:r w:rsidRPr="004C6AA7">
        <w:rPr>
          <w:sz w:val="25"/>
          <w:szCs w:val="25"/>
        </w:rPr>
        <w:t xml:space="preserve"> О.А. (лиц. </w:t>
      </w:r>
      <w:r w:rsidRPr="004C6AA7">
        <w:rPr>
          <w:sz w:val="25"/>
          <w:szCs w:val="25"/>
        </w:rPr>
        <w:t>РФ 82-5/00226 от 12.04.2019) на самих огнетушителях  и записи в журнале учета огнетушителей ООО «</w:t>
      </w:r>
      <w:r w:rsidRPr="004C6AA7">
        <w:rPr>
          <w:sz w:val="25"/>
          <w:szCs w:val="25"/>
        </w:rPr>
        <w:t>Югтрансгаз</w:t>
      </w:r>
      <w:r w:rsidRPr="004C6AA7">
        <w:rPr>
          <w:sz w:val="25"/>
          <w:szCs w:val="25"/>
        </w:rPr>
        <w:t xml:space="preserve">», являющегося собственником </w:t>
      </w:r>
      <w:r>
        <w:rPr>
          <w:sz w:val="25"/>
          <w:szCs w:val="25"/>
        </w:rPr>
        <w:t>транспортных средств.</w:t>
      </w:r>
    </w:p>
    <w:p w:rsidR="004C6AA7" w:rsidRPr="004C6AA7" w:rsidP="0071770D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>Учитывая описанные выше условия хранения, оба огнетушителя, хотя и были установлены на транспортных средствах вне кабины или салона, но воздействию неблагоприятных климатических и (или) физических факторов не подвергались, т.е. ежегодной перезарядки, согласно п. 4.4.</w:t>
      </w:r>
      <w:r w:rsidR="0071770D">
        <w:rPr>
          <w:sz w:val="25"/>
          <w:szCs w:val="25"/>
        </w:rPr>
        <w:t>7 СП 9.13130.2009 не требовали.</w:t>
      </w:r>
    </w:p>
    <w:p w:rsidR="008D25A3" w:rsidP="004C6AA7">
      <w:pPr>
        <w:pStyle w:val="ConsPlusNormal"/>
        <w:ind w:firstLine="540"/>
        <w:jc w:val="both"/>
        <w:rPr>
          <w:sz w:val="25"/>
          <w:szCs w:val="25"/>
        </w:rPr>
      </w:pPr>
      <w:r w:rsidRPr="004C6AA7">
        <w:rPr>
          <w:sz w:val="25"/>
          <w:szCs w:val="25"/>
        </w:rPr>
        <w:t>Таким образом, два огнетушителя, имевшиеся на момент остановки 15.11.2024 транспортного средства и составления в отношении Головченко Г.Н. протокола об административном правонарушении, в полной мере отвечали требованиям п. 8.1.4.1, п. 8.1.4.4, п. 8.1.4.5 ДОПОГ, п. 4.2.1, п. 4.2.5, п. 4.2.9, п. 4.3.1, п. 4.3.15, п. 4.4.7 и п. 4.5.1 СП 9.13130.2009.</w:t>
      </w:r>
    </w:p>
    <w:p w:rsidR="00E35035" w:rsidP="001F183D">
      <w:pPr>
        <w:pStyle w:val="ConsPlusNormal"/>
        <w:ind w:firstLine="540"/>
        <w:jc w:val="both"/>
        <w:rPr>
          <w:sz w:val="25"/>
          <w:szCs w:val="25"/>
        </w:rPr>
      </w:pPr>
      <w:r w:rsidRPr="00E35035">
        <w:rPr>
          <w:sz w:val="25"/>
          <w:szCs w:val="25"/>
        </w:rPr>
        <w:t>Согласно статьи</w:t>
      </w:r>
      <w:r w:rsidRPr="00E35035">
        <w:rPr>
          <w:sz w:val="25"/>
          <w:szCs w:val="25"/>
        </w:rPr>
        <w:t xml:space="preserve">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В силу ч. 1 ст. 2.1 КоАП РФ,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 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 В соответствии с пунктом 2 части 1 статьи 24.5 КоАП РФ производство по делу об административном правонарушении не может быть начато, а начатое производство подлежит прекращению ввиду отсутствия состава административного правонарушения. </w:t>
      </w:r>
    </w:p>
    <w:p w:rsidR="001F183D" w:rsidRPr="009B3B7F" w:rsidP="001F183D">
      <w:pPr>
        <w:pStyle w:val="ConsPlusNormal"/>
        <w:ind w:firstLine="540"/>
        <w:jc w:val="both"/>
        <w:rPr>
          <w:sz w:val="25"/>
          <w:szCs w:val="25"/>
        </w:rPr>
      </w:pPr>
      <w:r w:rsidRPr="009B3B7F">
        <w:rPr>
          <w:sz w:val="25"/>
          <w:szCs w:val="25"/>
        </w:rPr>
        <w:t>Руководствуясь ст. 3.5, 12.21.</w:t>
      </w:r>
      <w:r w:rsidR="00E35035">
        <w:rPr>
          <w:sz w:val="25"/>
          <w:szCs w:val="25"/>
        </w:rPr>
        <w:t>2</w:t>
      </w:r>
      <w:r w:rsidRPr="009B3B7F">
        <w:rPr>
          <w:sz w:val="25"/>
          <w:szCs w:val="25"/>
        </w:rPr>
        <w:t xml:space="preserve">, </w:t>
      </w:r>
      <w:r w:rsidR="00E35035">
        <w:rPr>
          <w:sz w:val="25"/>
          <w:szCs w:val="25"/>
        </w:rPr>
        <w:t xml:space="preserve">24.5, </w:t>
      </w:r>
      <w:r w:rsidRPr="009B3B7F">
        <w:rPr>
          <w:sz w:val="25"/>
          <w:szCs w:val="25"/>
        </w:rPr>
        <w:t>29.9, 29.10 КоАП РФ, мировой судья,-</w:t>
      </w:r>
    </w:p>
    <w:p w:rsidR="00CC67FB" w:rsidRPr="009B3B7F" w:rsidP="00802EAF">
      <w:pPr>
        <w:ind w:firstLine="567"/>
        <w:jc w:val="center"/>
        <w:rPr>
          <w:rFonts w:eastAsia="Times New Roman"/>
          <w:b/>
          <w:color w:val="000000"/>
          <w:sz w:val="25"/>
          <w:szCs w:val="25"/>
        </w:rPr>
      </w:pPr>
      <w:r w:rsidRPr="009B3B7F">
        <w:rPr>
          <w:rFonts w:eastAsia="Times New Roman"/>
          <w:b/>
          <w:color w:val="000000"/>
          <w:sz w:val="25"/>
          <w:szCs w:val="25"/>
        </w:rPr>
        <w:t>ПОСТАНОВИЛ:</w:t>
      </w:r>
    </w:p>
    <w:p w:rsidR="00E35035" w:rsidP="00372D4E">
      <w:pPr>
        <w:shd w:val="clear" w:color="auto" w:fill="FFFFFF"/>
        <w:ind w:firstLine="567"/>
        <w:rPr>
          <w:sz w:val="25"/>
          <w:szCs w:val="25"/>
        </w:rPr>
      </w:pPr>
      <w:r>
        <w:rPr>
          <w:sz w:val="25"/>
          <w:szCs w:val="25"/>
        </w:rPr>
        <w:t>П</w:t>
      </w:r>
      <w:r w:rsidRPr="00E35035">
        <w:rPr>
          <w:sz w:val="25"/>
          <w:szCs w:val="25"/>
        </w:rPr>
        <w:t xml:space="preserve">роизводство по делу об административном правонарушении, предусмотренном ч. 1 ст. 12.21.2 Кодекса об административных правонарушениях Российской Федерации в отношении Головченко </w:t>
      </w:r>
      <w:r w:rsidR="003E77FD">
        <w:rPr>
          <w:sz w:val="25"/>
          <w:szCs w:val="25"/>
        </w:rPr>
        <w:t>Г.Н.</w:t>
      </w:r>
      <w:r w:rsidRPr="00E35035">
        <w:rPr>
          <w:sz w:val="25"/>
          <w:szCs w:val="25"/>
        </w:rPr>
        <w:t xml:space="preserve">, </w:t>
      </w:r>
      <w:r w:rsidR="003E77FD">
        <w:rPr>
          <w:sz w:val="25"/>
          <w:szCs w:val="25"/>
        </w:rPr>
        <w:t xml:space="preserve">*** </w:t>
      </w:r>
      <w:r w:rsidRPr="00E35035">
        <w:rPr>
          <w:sz w:val="25"/>
          <w:szCs w:val="25"/>
        </w:rPr>
        <w:t xml:space="preserve"> года рождения - прекратить в связи с отсутствием состава административного правонарушения.</w:t>
      </w:r>
    </w:p>
    <w:p w:rsidR="00802EAF" w:rsidRPr="009B3B7F" w:rsidP="00372D4E">
      <w:pPr>
        <w:shd w:val="clear" w:color="auto" w:fill="FFFFFF"/>
        <w:ind w:firstLine="567"/>
        <w:rPr>
          <w:rFonts w:eastAsia="Times New Roman"/>
          <w:i/>
          <w:color w:val="000000"/>
          <w:sz w:val="25"/>
          <w:szCs w:val="25"/>
          <w:lang w:eastAsia="ru-RU"/>
        </w:rPr>
      </w:pPr>
      <w:r w:rsidRPr="009B3B7F">
        <w:rPr>
          <w:rFonts w:eastAsia="Times New Roman"/>
          <w:color w:val="000000"/>
          <w:sz w:val="25"/>
          <w:szCs w:val="25"/>
          <w:lang w:eastAsia="ru-RU"/>
        </w:rPr>
        <w:t>Постановление может быть обжаловано в Симферопольский районный суд Республики Крым через судебный участок №79</w:t>
      </w:r>
      <w:r w:rsidRPr="009B3B7F">
        <w:rPr>
          <w:sz w:val="25"/>
          <w:szCs w:val="25"/>
        </w:rPr>
        <w:t xml:space="preserve"> </w:t>
      </w:r>
      <w:r w:rsidRPr="009B3B7F">
        <w:rPr>
          <w:rFonts w:eastAsia="Times New Roman"/>
          <w:color w:val="000000"/>
          <w:sz w:val="25"/>
          <w:szCs w:val="25"/>
          <w:lang w:eastAsia="ru-RU"/>
        </w:rPr>
        <w:t xml:space="preserve">Симферопольского судебного района (Симферопольский муниципальный район) Республики Крым в течение 10 </w:t>
      </w:r>
      <w:r w:rsidR="00866D5E">
        <w:rPr>
          <w:rFonts w:eastAsia="Times New Roman"/>
          <w:color w:val="000000"/>
          <w:sz w:val="25"/>
          <w:szCs w:val="25"/>
          <w:lang w:eastAsia="ru-RU"/>
        </w:rPr>
        <w:t>дней</w:t>
      </w:r>
      <w:r w:rsidRPr="009B3B7F">
        <w:rPr>
          <w:rFonts w:eastAsia="Times New Roman"/>
          <w:color w:val="000000"/>
          <w:sz w:val="25"/>
          <w:szCs w:val="25"/>
          <w:lang w:eastAsia="ru-RU"/>
        </w:rPr>
        <w:t xml:space="preserve"> со дня вручения или получения копии постановления</w:t>
      </w:r>
      <w:r w:rsidRPr="009B3B7F">
        <w:rPr>
          <w:rFonts w:eastAsia="Times New Roman"/>
          <w:i/>
          <w:color w:val="000000"/>
          <w:sz w:val="25"/>
          <w:szCs w:val="25"/>
          <w:lang w:eastAsia="ru-RU"/>
        </w:rPr>
        <w:t>.</w:t>
      </w:r>
    </w:p>
    <w:p w:rsidR="00814918" w:rsidRPr="009B3B7F" w:rsidP="00802EAF">
      <w:pPr>
        <w:ind w:firstLine="567"/>
        <w:rPr>
          <w:sz w:val="25"/>
          <w:szCs w:val="25"/>
        </w:rPr>
      </w:pPr>
    </w:p>
    <w:p w:rsidR="00E35035" w:rsidP="00802EAF">
      <w:pPr>
        <w:ind w:firstLine="567"/>
        <w:rPr>
          <w:sz w:val="25"/>
          <w:szCs w:val="25"/>
        </w:rPr>
      </w:pPr>
      <w:r w:rsidRPr="009B3B7F">
        <w:rPr>
          <w:sz w:val="25"/>
          <w:szCs w:val="25"/>
        </w:rPr>
        <w:t xml:space="preserve">Мировой судья                                                                         </w:t>
      </w:r>
      <w:r w:rsidRPr="009B3B7F" w:rsidR="00A05B8A">
        <w:rPr>
          <w:sz w:val="25"/>
          <w:szCs w:val="25"/>
        </w:rPr>
        <w:t xml:space="preserve">    </w:t>
      </w:r>
      <w:r w:rsidRPr="009B3B7F">
        <w:rPr>
          <w:sz w:val="25"/>
          <w:szCs w:val="25"/>
        </w:rPr>
        <w:t xml:space="preserve"> </w:t>
      </w:r>
      <w:r w:rsidRPr="009B3B7F" w:rsidR="00E06B14">
        <w:rPr>
          <w:sz w:val="25"/>
          <w:szCs w:val="25"/>
        </w:rPr>
        <w:tab/>
      </w:r>
      <w:r w:rsidRPr="009B3B7F" w:rsidR="00E06B14">
        <w:rPr>
          <w:sz w:val="25"/>
          <w:szCs w:val="25"/>
        </w:rPr>
        <w:tab/>
        <w:t>Бора И.Ю.</w:t>
      </w:r>
    </w:p>
    <w:p w:rsidR="00F334E4" w:rsidRPr="009B3B7F" w:rsidP="003E77FD">
      <w:pPr>
        <w:spacing w:after="200" w:line="276" w:lineRule="auto"/>
        <w:jc w:val="left"/>
        <w:rPr>
          <w:sz w:val="25"/>
          <w:szCs w:val="25"/>
        </w:rPr>
      </w:pPr>
    </w:p>
    <w:sectPr w:rsidSect="00BA4D72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6"/>
    <w:rsid w:val="000062D3"/>
    <w:rsid w:val="0003516E"/>
    <w:rsid w:val="000550A6"/>
    <w:rsid w:val="00070914"/>
    <w:rsid w:val="00081B31"/>
    <w:rsid w:val="000B0023"/>
    <w:rsid w:val="000C52EE"/>
    <w:rsid w:val="000D5E80"/>
    <w:rsid w:val="000E2699"/>
    <w:rsid w:val="000F7C00"/>
    <w:rsid w:val="001066E8"/>
    <w:rsid w:val="00120A07"/>
    <w:rsid w:val="00130FC5"/>
    <w:rsid w:val="00167F60"/>
    <w:rsid w:val="00176608"/>
    <w:rsid w:val="00195A32"/>
    <w:rsid w:val="001F183D"/>
    <w:rsid w:val="001F1D34"/>
    <w:rsid w:val="00230958"/>
    <w:rsid w:val="00241A7E"/>
    <w:rsid w:val="00244592"/>
    <w:rsid w:val="00257B81"/>
    <w:rsid w:val="00262212"/>
    <w:rsid w:val="00282C5E"/>
    <w:rsid w:val="002A72C4"/>
    <w:rsid w:val="002D3A16"/>
    <w:rsid w:val="00310A57"/>
    <w:rsid w:val="0032750F"/>
    <w:rsid w:val="0033502A"/>
    <w:rsid w:val="0036146F"/>
    <w:rsid w:val="003650ED"/>
    <w:rsid w:val="00372D4E"/>
    <w:rsid w:val="003E77FD"/>
    <w:rsid w:val="00400CB7"/>
    <w:rsid w:val="004578FD"/>
    <w:rsid w:val="0047536B"/>
    <w:rsid w:val="004A3799"/>
    <w:rsid w:val="004C6AA7"/>
    <w:rsid w:val="004D3C20"/>
    <w:rsid w:val="004D5C16"/>
    <w:rsid w:val="00550101"/>
    <w:rsid w:val="005A05F3"/>
    <w:rsid w:val="005B493C"/>
    <w:rsid w:val="005D36E8"/>
    <w:rsid w:val="005E3F74"/>
    <w:rsid w:val="00620065"/>
    <w:rsid w:val="00627A13"/>
    <w:rsid w:val="006607C7"/>
    <w:rsid w:val="00686097"/>
    <w:rsid w:val="006A4B5F"/>
    <w:rsid w:val="006B2D56"/>
    <w:rsid w:val="00702630"/>
    <w:rsid w:val="0071770D"/>
    <w:rsid w:val="00764B39"/>
    <w:rsid w:val="00766212"/>
    <w:rsid w:val="007800DD"/>
    <w:rsid w:val="007D2D12"/>
    <w:rsid w:val="00802EAF"/>
    <w:rsid w:val="00814918"/>
    <w:rsid w:val="0081623D"/>
    <w:rsid w:val="008221DB"/>
    <w:rsid w:val="00866D5E"/>
    <w:rsid w:val="008A74F5"/>
    <w:rsid w:val="008B085C"/>
    <w:rsid w:val="008D25A3"/>
    <w:rsid w:val="008F2AA8"/>
    <w:rsid w:val="009457EA"/>
    <w:rsid w:val="00970AE4"/>
    <w:rsid w:val="0098703A"/>
    <w:rsid w:val="009B3B7F"/>
    <w:rsid w:val="009C4C92"/>
    <w:rsid w:val="009D784C"/>
    <w:rsid w:val="009E1113"/>
    <w:rsid w:val="009E593A"/>
    <w:rsid w:val="009F0E89"/>
    <w:rsid w:val="00A05B8A"/>
    <w:rsid w:val="00A21205"/>
    <w:rsid w:val="00A65790"/>
    <w:rsid w:val="00AD1A60"/>
    <w:rsid w:val="00AE716F"/>
    <w:rsid w:val="00B10BA0"/>
    <w:rsid w:val="00B25301"/>
    <w:rsid w:val="00B336EC"/>
    <w:rsid w:val="00B81EA0"/>
    <w:rsid w:val="00BA4D72"/>
    <w:rsid w:val="00BE10BA"/>
    <w:rsid w:val="00C0543A"/>
    <w:rsid w:val="00C43B19"/>
    <w:rsid w:val="00C62507"/>
    <w:rsid w:val="00C63F23"/>
    <w:rsid w:val="00C70957"/>
    <w:rsid w:val="00CA15DF"/>
    <w:rsid w:val="00CC67FB"/>
    <w:rsid w:val="00CC6CE9"/>
    <w:rsid w:val="00CD798E"/>
    <w:rsid w:val="00CE58A5"/>
    <w:rsid w:val="00D124FA"/>
    <w:rsid w:val="00D4677D"/>
    <w:rsid w:val="00D72DDE"/>
    <w:rsid w:val="00D77B2E"/>
    <w:rsid w:val="00D80F18"/>
    <w:rsid w:val="00D84DA4"/>
    <w:rsid w:val="00DB1A80"/>
    <w:rsid w:val="00DC4475"/>
    <w:rsid w:val="00DC5D0D"/>
    <w:rsid w:val="00E04810"/>
    <w:rsid w:val="00E06B14"/>
    <w:rsid w:val="00E17FB1"/>
    <w:rsid w:val="00E3404A"/>
    <w:rsid w:val="00E35035"/>
    <w:rsid w:val="00EC692B"/>
    <w:rsid w:val="00EE28FB"/>
    <w:rsid w:val="00EE3E3C"/>
    <w:rsid w:val="00F022CD"/>
    <w:rsid w:val="00F17E16"/>
    <w:rsid w:val="00F334E4"/>
    <w:rsid w:val="00F36674"/>
    <w:rsid w:val="00F407A7"/>
    <w:rsid w:val="00F71B47"/>
    <w:rsid w:val="00FD0237"/>
    <w:rsid w:val="00FE2745"/>
    <w:rsid w:val="00FE7EA4"/>
    <w:rsid w:val="00FF6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C67FB"/>
  </w:style>
  <w:style w:type="paragraph" w:styleId="NoSpacing">
    <w:name w:val="No Spacing"/>
    <w:uiPriority w:val="1"/>
    <w:qFormat/>
    <w:rsid w:val="00CC67F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67F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C67FB"/>
  </w:style>
  <w:style w:type="character" w:customStyle="1" w:styleId="snippetequal">
    <w:name w:val="snippet_equal"/>
    <w:basedOn w:val="DefaultParagraphFont"/>
    <w:rsid w:val="00CC67FB"/>
  </w:style>
  <w:style w:type="paragraph" w:styleId="Header">
    <w:name w:val="header"/>
    <w:basedOn w:val="Normal"/>
    <w:link w:val="a"/>
    <w:uiPriority w:val="99"/>
    <w:unhideWhenUsed/>
    <w:rsid w:val="00CC67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67FB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81E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1EA0"/>
    <w:rPr>
      <w:rFonts w:ascii="Tahoma" w:eastAsia="Calibri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rsid w:val="003650ED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D5E8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5E80"/>
    <w:rPr>
      <w:rFonts w:ascii="Times New Roman" w:eastAsia="Calibri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A1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A15D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1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