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0218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A237A4" w:rsidR="00A237A4">
        <w:rPr>
          <w:color w:val="auto"/>
          <w:sz w:val="24"/>
          <w:szCs w:val="24"/>
        </w:rPr>
        <w:t>91MS0080-01-2025-002086-57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7B157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30.09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7B157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18810582250717075279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17.07.2025</w:t>
      </w:r>
      <w:r w:rsidRPr="0060748A">
        <w:rPr>
          <w:color w:val="auto"/>
          <w:sz w:val="24"/>
          <w:szCs w:val="24"/>
        </w:rPr>
        <w:t xml:space="preserve"> </w:t>
      </w:r>
      <w:r w:rsidR="007B157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C66966">
        <w:rPr>
          <w:color w:val="auto"/>
          <w:sz w:val="24"/>
          <w:szCs w:val="24"/>
        </w:rPr>
        <w:t>30.07.2025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7B157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7B157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417FB4">
        <w:rPr>
          <w:color w:val="auto"/>
          <w:sz w:val="24"/>
          <w:szCs w:val="24"/>
        </w:rPr>
        <w:t>3201</w:t>
      </w:r>
      <w:r w:rsidR="00C66966">
        <w:rPr>
          <w:color w:val="auto"/>
          <w:sz w:val="24"/>
          <w:szCs w:val="24"/>
        </w:rPr>
        <w:t>03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7B157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A237A4">
        <w:rPr>
          <w:color w:val="auto"/>
          <w:sz w:val="24"/>
          <w:szCs w:val="24"/>
        </w:rPr>
        <w:t>18810582250717075279</w:t>
      </w:r>
      <w:r w:rsidR="00146003">
        <w:rPr>
          <w:color w:val="auto"/>
          <w:sz w:val="24"/>
          <w:szCs w:val="24"/>
        </w:rPr>
        <w:t xml:space="preserve"> от </w:t>
      </w:r>
      <w:r w:rsidR="00A237A4">
        <w:rPr>
          <w:color w:val="auto"/>
          <w:sz w:val="24"/>
          <w:szCs w:val="24"/>
        </w:rPr>
        <w:t>17.07.2025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C66966">
        <w:rPr>
          <w:color w:val="auto"/>
          <w:sz w:val="24"/>
          <w:szCs w:val="24"/>
        </w:rPr>
        <w:t>30.07.2025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A07FF3" w:rsidR="00A07FF3">
        <w:rPr>
          <w:color w:val="auto"/>
          <w:sz w:val="24"/>
          <w:szCs w:val="24"/>
        </w:rPr>
        <w:t>0410760300805002182520175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157D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C1BA-A47E-49A0-9C09-466E192C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