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05-0057/9/2025</w:t>
      </w:r>
    </w:p>
    <w:p w:rsidR="00A77B3E">
      <w:r>
        <w:t xml:space="preserve">    (05-0745/9/2024)</w:t>
      </w:r>
    </w:p>
    <w:p w:rsidR="00A77B3E">
      <w:r>
        <w:t xml:space="preserve">                                                                                   УИД 91MS0007-телефон-телефон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литера Р, Помещение 19) фио, паспортные данные,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 представлены подраздел 1.1 формы ЕФС-1 в отношении застрахованных  лиц, сведения с кадровым мероприятием «Окончание договора ГПХ» от дата при предельном сроке предоставления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(л.д.1,2), копия выписки ЕГРЮЛ  (л.д. 7-8),  копия форма ЕФС-1 от дата (л.д. 14-17), 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03241643000000067501, Отделение адрес Банка России//УФК по адрес, БИК телефон, ОКТМО телефон, ИНН телефон, КПП телефон, КБК 79711601230060001140, УИН 79709100000000064554, назначение платежа – штраф за административное правонарушение, Отделение Фонда пенсионного и социального страхования РФ по адрес.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