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Дело № 05-0065/9/2025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данные., адрес, зарегистрированного по адресу: адрес.,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ОСФР по адрес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7), форма ЕФС-1 (л.д. 9),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фио,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79791011712240498098, назначение платежа – административный штраф от           фио по решению № 05-0065/9/2025, протокол № 572430).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