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05-0147/9/2025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и паспортные данные телефон, в/у телефон от дата,</w:t>
      </w:r>
    </w:p>
    <w:p w:rsidR="00A77B3E">
      <w:r>
        <w:t xml:space="preserve">                                                                          установил:</w:t>
      </w:r>
    </w:p>
    <w:p w:rsidR="00A77B3E">
      <w:r>
        <w:t>фио дата в время по адресу: адрес, транспортным средством - электросамокатом фио V4 Pro» мощностью 600 Вт,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судебном заседании с нарушением согласился, вину признал, ходатайств об отложении судебного разбирательства, в том числе для ознакомления с материалами дела, предоставления времени для приглашения защитника, не заявлял.</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серии 82ОТ № 071118.</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Согласно акта освидетельствования на состояние опьянения от дата серии 82 АО № 043106 фио был освидетельствован на месте при помощи прибора Алкотектор Юпитер К телефон, показания прибора составили 0,00 мг/л выдыхаемого воздуха.</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273309 об административном правонарушении (л.д.1), протокол от дата серии 82ОТ № 071118 об отстранении от управления транспортным средством (л.д.3), акт освидетельствования на состояние алкогольного опьянения от дата серии 82АО № 043106 (л.д. 4), квитанцию прибора (л.д. 5),  протокол о направлении на медицинское освидетельствование от дата серия 82МО № 020032 (л.д.6), рапорт (л.д. 15), сведения о правонарушениях (л.д. 16),  справку (л.д. 17), карточку операции с в/у (л.д. 18) СD-диск с видеозаписью, на которой зафиксирован отказ от прохождения освидетельствования на состояние опьянения (л.д. 19),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фиоН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18810491251000001678.</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