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05-0264/9/2025</w:t>
      </w:r>
    </w:p>
    <w:p w:rsidR="00A77B3E">
      <w:r>
        <w:t xml:space="preserve">                                                                         УИД </w:t>
        <w:tab/>
        <w:t>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(адрес) фио,  паспортные данные Ярмолинцы адрес, паспортные данные, ИНН 910219249720,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ходатайствовала о замене административного штрафа предупреждением.</w:t>
      </w:r>
    </w:p>
    <w:p w:rsidR="00A77B3E">
      <w:r>
        <w:t>Заслушав защитника, 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датах заключения (прекращения) и иных реквизитов договора ГПХ (пп. 5 п. 2 ст. 11 № 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>наименование организации дата представлен подраздел 1.1, форма ЕФС-1 в отношении фио с кадровым мероприятием «Начало договора ГПХ» №79845/1 от дата, при сроке предоставления сведений не позднее дата.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091S20250000013 (л.д.1-2), копии форм ЕФС-1 (л.д. 5), копию выписки из ЕГРЮЛ (л.д. 15-19), иные материалы дела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79709100000000073588, постановление № 05-0264/9/2025, рег. номер организации в СФР телефон-телефон.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