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05-0338/9/2024</w:t>
      </w:r>
    </w:p>
    <w:p w:rsidR="00A77B3E">
      <w:r>
        <w:t>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марка автомобиля ...» с нечитаемым государственным регистрационным знаком «...», имея признаки опьянения – запах алкоголя изо рта, неустойчивость позы, нарушение речи,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запаха алкоголя изо рта, неустойчивость позы, нарушение речи, что согласуется с пунктом 2 Правил и отражено в протоколе об отстранении от управления транспортным средством от дата серия 82ОТ                      № 063844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252275 об административном правонарушении (л.д. 1), карточка операции с в/у (л.д. 3), параметры поиска (л.д. 4),  карточка учета т/с (л.д. 5), справка (л.д. 6), протокол от дата серии 82ОТ № 063844 об отстранении от управления транспортным средством (л.д.7), протокол о направлении на медицинское освидетельствование от дата серия 82МО № 019102 (л.д. 8), протокол о задержании транспортного средства от дата серии 82ПЗ №074196 (л.д.  9), рапорт (л.д. 10),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1881049121100006109.</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