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05-0349/9/2024</w:t>
      </w:r>
    </w:p>
    <w:p w:rsidR="00A77B3E">
      <w:r>
        <w:t>(УИД 91MS0009-телефон-телефон-94)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конкурсного управляющего наименование организации (адрес, пт. ...) фио, паспортные данные,</w:t>
      </w:r>
    </w:p>
    <w:p w:rsidR="00A77B3E">
      <w:r>
        <w:t xml:space="preserve">установил: </w:t>
      </w:r>
    </w:p>
    <w:p w:rsidR="00A77B3E">
      <w:r>
        <w:t>фио –  конкурсный управляющий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№15-08/8139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>Требование направлено в адрес наименование организации в электронном виде по телекоммуникационным каналам связи, получено дата, что подтверждается квитанцией о приеме электронного документа.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 1-2), копию акта №15/20330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 8-10), копию требования №8139 (л.д. 11-12), копию квитанции о приеме электронного документа (л.д. 13-14), выписку из ЕГРЮЛ (л.д. 15-26),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  конкурсного управляющего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0410760300095003492415101.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