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05-0352/9/2025</w:t>
      </w:r>
    </w:p>
    <w:p w:rsidR="00A77B3E">
      <w:r>
        <w:t xml:space="preserve"> 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   </w:t>
        <w:tab/>
        <w:tab/>
        <w:tab/>
        <w:t xml:space="preserve">                                                 адрес          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(далее – КоАП РФ) в отношении генерального директора наименование организации фио, паспортные данные., адрес,, зарегистрированной и паспортные данные,</w:t>
      </w:r>
    </w:p>
    <w:p w:rsidR="00A77B3E">
      <w:r>
        <w:t xml:space="preserve">                                                           установил:</w:t>
      </w:r>
    </w:p>
    <w:p w:rsidR="00A77B3E">
      <w:r>
        <w:t>фио – генеральный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дата является  дата. Фактически сведения ЕФС-1 представлены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790918 (л.д.1), выписка ЕГРЮЛ (л.д. 8-10), копия формы ЕФС-1 (л.д. 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79791011305250146888, назначение платежа – административный штраф от              фио по решению № 05-0352/9/2025, протокол № 790918).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 фио </w:t>
      </w:r>
    </w:p>
    <w:p w:rsidR="00A77B3E"/>
    <w:p w:rsidR="00A77B3E">
      <w:r>
        <w:t xml:space="preserve">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