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05-0372/9/2025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 телефон,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организации,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№15-08/4601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наименование организации по почте заказным письмом, получен дата, (почтовое отслеживание ШПИ 29505396026795).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№15/20603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(л.д.11-13), копию требования №15-08/4601 от дата (л.д. 14-15), выписку из ЕГРЮЛ (л.д. 20-24),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0410760300095003722515107.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