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05-0384/9/2025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 xml:space="preserve">Мировой судья судебного участка № 9 Киевского судебного района адрес фио, при участии представителя фио, </w:t>
      </w:r>
    </w:p>
    <w:p w:rsidR="00A77B3E">
      <w:r>
        <w:t>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Лит. А, помещ. 40), ОГРН 1159102124488),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0710096).</w:t>
      </w:r>
    </w:p>
    <w:p w:rsidR="00A77B3E">
      <w:r>
        <w:t>Представитель фио в судебном заседании с нарушением согласился.</w:t>
      </w:r>
    </w:p>
    <w:p w:rsidR="00A77B3E">
      <w:r>
        <w:t>Заслушав представителя, 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в ИФНС России по адрес посредством ТКС дата (регистрационный №2513317505), законодательно установленный срок представления годовой бухгалтерской (финансовой) отчётности – дата, то есть документ был представлен на 15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упрощенная бухгалтерская (финансовая) отчетность (л.д. 12), квитанция о приеме (л.д.13), выписка из ЕГРЮЛ (л.д. 14-17),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0410760300095003842519198.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