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87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зд. 2, каб. 22, ОГРН 1249100014800)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9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9) представлена наименование организации в ИФНС России по адрес посредством ТКС дата (регистрационный №2513124233), законодательно установленный срок представления годовой бухгалтерской (финансовой) отчётности – дата, то есть документ был представлен на 7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бухгалтерская (финансовая) отчетность (л.д. 14), квитанция о приеме (л.д.15), выписка из ЕГРЮЛ (л.д. 16-18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7251913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