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05-0470/9/2025</w:t>
      </w:r>
    </w:p>
    <w:p w:rsidR="00A77B3E">
      <w:r>
        <w:t xml:space="preserve">                                                                                   УИД 91MS0004-телефон-телефон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фио,  паспортные данные, </w:t>
      </w:r>
    </w:p>
    <w:p w:rsidR="00A77B3E">
      <w:r>
        <w:t xml:space="preserve">                                                            установил:</w:t>
      </w:r>
    </w:p>
    <w:p w:rsidR="00A77B3E">
      <w:r>
        <w:t xml:space="preserve">фио – руководитель наименование организации </w:t>
      </w:r>
    </w:p>
    <w:p w:rsidR="00A77B3E">
      <w:r>
        <w:t xml:space="preserve">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 фио   </w:t>
      </w:r>
    </w:p>
    <w:p w:rsidR="00A77B3E">
      <w:r>
        <w:t>Защитник фио в судебном заседании фактические обстоятельства по делу не оспаривала.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N 255-ФЗ (ред. от дата)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№313348706 по ЛН №910250129538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1-4), требование                    (л.д. 11-12), к/акта о камеральной проверке (л.д. 15-22), к/уведомление (л.д. 23-24), выписка из ЕГРЮЛ (л.д. 35-44),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фио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79791001706250000538, назначение платежа – штраф за административное правонарушение, фио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