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5-91-414/2025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 зарегистрированного по адресу: адрес, и проживающего по адресу: адрес,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парке в районе строения 14 кафе «Камин» по адрес, адрес адрес, в состоянии алкогольного опьянения, а именно: при общении исходил резкий запах алкоголя изо рта, неопрятный внешний вид, шаткая походка и неустойчивость позы,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 в его совершении подтверждается признанием вины, и следующими представленными по делу доказательствами: протоколом 8201 № 327582 от дата, составленный по  ст. 20.21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совершенного правонарушения, личность виновного лица, наличие обстоятельств,  отягчающих административную ответственность не установлено, смягчающее обстоятельство – признание вины,   и    полагает применить к фио наказание в виде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0410760300915004142520166.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