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B5647C">
        <w:rPr>
          <w:b w:val="0"/>
          <w:sz w:val="28"/>
          <w:szCs w:val="28"/>
        </w:rPr>
        <w:t>462</w:t>
      </w:r>
      <w:r w:rsidRPr="001A7027">
        <w:rPr>
          <w:b w:val="0"/>
          <w:sz w:val="28"/>
          <w:szCs w:val="28"/>
        </w:rPr>
        <w:t>/2024</w:t>
      </w:r>
    </w:p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-01-2024-00</w:t>
      </w:r>
      <w:r w:rsidR="00A373F4">
        <w:rPr>
          <w:b w:val="0"/>
          <w:sz w:val="28"/>
          <w:szCs w:val="28"/>
        </w:rPr>
        <w:t>33</w:t>
      </w:r>
      <w:r w:rsidR="00B5647C">
        <w:rPr>
          <w:b w:val="0"/>
          <w:sz w:val="28"/>
          <w:szCs w:val="28"/>
        </w:rPr>
        <w:t>14</w:t>
      </w:r>
      <w:r w:rsidRPr="001A7027">
        <w:rPr>
          <w:b w:val="0"/>
          <w:sz w:val="28"/>
          <w:szCs w:val="28"/>
        </w:rPr>
        <w:t>-</w:t>
      </w:r>
      <w:r w:rsidR="00B5647C">
        <w:rPr>
          <w:b w:val="0"/>
          <w:sz w:val="28"/>
          <w:szCs w:val="28"/>
        </w:rPr>
        <w:t>24</w:t>
      </w: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7C4900" w:rsidRPr="001A7027" w:rsidP="007C49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2024 года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900" w:rsidP="007C490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2465F0" w:rsidRPr="00737941" w:rsidP="0073794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B53D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B53D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уроженки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B53D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Pr="006D121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граждан</w:t>
      </w:r>
      <w:r w:rsidR="00787BA9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ки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», проживающей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</w:t>
      </w:r>
      <w:r w:rsidRPr="006D121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паспорт 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серии и номер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</w:p>
    <w:p w:rsidR="002465F0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ту – КоАП РФ), </w:t>
      </w:r>
    </w:p>
    <w:p w:rsidR="005520CE" w:rsidRPr="002A504B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647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Fonts w:ascii="Times New Roman" w:hAnsi="Times New Roman"/>
          <w:sz w:val="28"/>
          <w:szCs w:val="28"/>
        </w:rPr>
        <w:t>., являясь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7C490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>не обеспечил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в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 xml:space="preserve">органы Пенсионного фонда Российской Федерации </w:t>
      </w:r>
      <w:r w:rsidR="00787BA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>по Республике Крым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законом срок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 xml:space="preserve"> – не позднее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25.01.2024 г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по форме ЕФС-1</w:t>
      </w:r>
      <w:r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за 2023 г. в отношении 21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заст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рахо</w:t>
      </w:r>
      <w:r w:rsidR="009B53D4">
        <w:rPr>
          <w:rFonts w:ascii="Times New Roman" w:hAnsi="Times New Roman"/>
          <w:color w:val="000000" w:themeColor="text1"/>
          <w:sz w:val="28"/>
          <w:szCs w:val="28"/>
        </w:rPr>
        <w:t>ванного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9B53D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по 5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застрахованным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ицам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с периодами работы, указанными в п. 3 ст. 11 </w:t>
      </w:r>
      <w:r w:rsidRPr="002A504B" w:rsidR="007C4900">
        <w:rPr>
          <w:rFonts w:ascii="Times New Roman" w:hAnsi="Times New Roman"/>
          <w:color w:val="000000" w:themeColor="text1"/>
          <w:sz w:val="28"/>
          <w:szCs w:val="28"/>
        </w:rPr>
        <w:t>Федерального закона № 27-ФЗ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чем нарушил </w:t>
      </w:r>
      <w:r w:rsidR="00787BA9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9B53D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ч.1 ст.15.33.2 КоАП РФ.</w:t>
      </w:r>
    </w:p>
    <w:p w:rsidR="002465F0" w:rsidRPr="002A504B" w:rsidP="0024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6D121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D1216">
        <w:rPr>
          <w:rFonts w:ascii="Times New Roman" w:hAnsi="Times New Roman"/>
          <w:bCs/>
          <w:sz w:val="26"/>
          <w:szCs w:val="26"/>
        </w:rPr>
        <w:t>******</w:t>
      </w:r>
      <w:r w:rsidR="006D1216"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не явилась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, о месте и вре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мени рассмотрения дела извещалась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надлежащим образом, однако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</w:t>
      </w: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правонарушении в их совокупности, прихожу к выводу о следующем.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 1 ст. 15.33.2 КоАП РФ административным правонарушением признается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Российской Федерации оформленных в установленном порядке сведений (документов),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dst9110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A50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65F0" w:rsidRPr="002A504B" w:rsidP="00A460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Факт совершения</w:t>
      </w:r>
      <w:r w:rsidR="006D1216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D1216">
        <w:rPr>
          <w:rFonts w:ascii="Times New Roman" w:hAnsi="Times New Roman"/>
          <w:bCs/>
          <w:sz w:val="26"/>
          <w:szCs w:val="26"/>
        </w:rPr>
        <w:t>***</w:t>
      </w:r>
      <w:r w:rsidR="006D1216"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протоколом об административном п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равонарушении № </w:t>
      </w:r>
      <w:r w:rsidR="00B564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132 от 04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.09</w:t>
      </w:r>
      <w:r w:rsidR="005F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.2024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уведомлением о регистрации </w:t>
      </w:r>
      <w:r w:rsidR="006473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юридического лица в территориальном органе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Пенсионного фонда Российской Федерации; копией выписки из ЕГРЮЛ;</w:t>
      </w:r>
      <w:r w:rsidR="00737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копией протокола проверки отчетности</w:t>
      </w:r>
      <w:r w:rsidR="002D76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копией скриншота журнала АСВ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предоставлении отчета;</w:t>
      </w:r>
      <w:r w:rsidR="00A460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извещением о доставке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ст. 26.11 КоАП РФ, мировой судья приходит к выводу о совершении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15.33.2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 ст. 4.5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для данной категории дел, не истек.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тягчающих административную ответственность за совершенное правонарушение, не установлено.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мировой судья считает возможным назначить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штрафа, предусмотренного санкцией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ч. 1 ст. 15.33.2 КоАП РФ.  </w:t>
      </w:r>
    </w:p>
    <w:p w:rsidR="002465F0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2A504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5520CE" w:rsidRPr="002A504B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Федерации об административных правонарушениях, и назначить е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Получатель: УФК по Республике Крым (Отделение Фонда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пенсионного и социального страхования Российской Федерации по Республике Крым); ИНН: 7706808265</w:t>
      </w:r>
      <w:r w:rsidRPr="002A504B" w:rsidR="00224E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КПП: 910201001; Банк получателя: Отделение Республика Крым Банка России // УФК по Республике Крым г. Симферополь; единый казначейский счет (корр. счет) 401028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10645370000035; казначейский счет (р/счет) 03100643000000017500; БИК: 013510002; ОКТМО 3572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 xml:space="preserve">9000; КБК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797 1 16 01230 06 000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140</w:t>
      </w:r>
      <w:r w:rsidR="005179F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УИН </w:t>
      </w:r>
      <w:r w:rsidR="00B5647C">
        <w:rPr>
          <w:rFonts w:ascii="Times New Roman" w:hAnsi="Times New Roman"/>
          <w:color w:val="000000" w:themeColor="text1"/>
          <w:sz w:val="28"/>
          <w:szCs w:val="28"/>
        </w:rPr>
        <w:t>79709100000000051193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постановление 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br/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№ 5-9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5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-</w:t>
      </w:r>
      <w:r w:rsidR="001C41A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4</w:t>
      </w:r>
      <w:r w:rsidR="00B5647C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6</w:t>
      </w:r>
      <w:r w:rsidR="00A373F4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2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/20</w:t>
      </w:r>
      <w:r w:rsidR="001D2D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24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Разъяснить, что в соответствии со ст. 32.2 КоАП РФ,  административный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Документ, свидетельствующий об уплате административного штрафа, лицо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, привлеченное к административной ответственности, направляет судье, в орган, должностному лицу, вынесшим постановление. 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ок до пятидесяти часов (ч.1 ст.20.25 КоАП РФ).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C49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Ялтинского судебного района (городской округ Ялта) Республики Крым либо непосредственно в Ялтинский горо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дской суд Республики Крым, в течение 10 суток со дня вручения или получения копии постановления.   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9FD" w:rsidP="007C49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 w:rsidR="00407021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  <w:t>А.Ш. Юдакова</w:t>
      </w:r>
    </w:p>
    <w:p w:rsidR="0056460F" w:rsidRPr="002A504B"/>
    <w:sectPr w:rsidSect="00B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0"/>
    <w:rsid w:val="0018549C"/>
    <w:rsid w:val="001A7027"/>
    <w:rsid w:val="001C41A6"/>
    <w:rsid w:val="001D2D36"/>
    <w:rsid w:val="00224E05"/>
    <w:rsid w:val="002465F0"/>
    <w:rsid w:val="002A504B"/>
    <w:rsid w:val="002D7629"/>
    <w:rsid w:val="00311DF5"/>
    <w:rsid w:val="00407021"/>
    <w:rsid w:val="004677BC"/>
    <w:rsid w:val="005179FD"/>
    <w:rsid w:val="005520CE"/>
    <w:rsid w:val="0056460F"/>
    <w:rsid w:val="005D0321"/>
    <w:rsid w:val="005F7762"/>
    <w:rsid w:val="00647396"/>
    <w:rsid w:val="006541DA"/>
    <w:rsid w:val="006C3E9E"/>
    <w:rsid w:val="006D1216"/>
    <w:rsid w:val="00737941"/>
    <w:rsid w:val="007459D5"/>
    <w:rsid w:val="00787BA9"/>
    <w:rsid w:val="00792C7E"/>
    <w:rsid w:val="007C4900"/>
    <w:rsid w:val="00852532"/>
    <w:rsid w:val="009B53D4"/>
    <w:rsid w:val="00A373F4"/>
    <w:rsid w:val="00A460C9"/>
    <w:rsid w:val="00AC795A"/>
    <w:rsid w:val="00AD5E20"/>
    <w:rsid w:val="00B5647C"/>
    <w:rsid w:val="00B67947"/>
    <w:rsid w:val="00D02F5C"/>
    <w:rsid w:val="00EC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65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65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65F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65F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