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="004629F1">
        <w:rPr>
          <w:bCs/>
          <w:iCs/>
          <w:sz w:val="28"/>
          <w:szCs w:val="28"/>
        </w:rPr>
        <w:t>6</w:t>
      </w:r>
      <w:r w:rsidRPr="00A01AD3" w:rsidR="00C22AF7">
        <w:rPr>
          <w:bCs/>
          <w:iCs/>
          <w:sz w:val="28"/>
          <w:szCs w:val="28"/>
        </w:rPr>
        <w:t>-</w:t>
      </w:r>
      <w:r w:rsidR="000E7C9F">
        <w:rPr>
          <w:bCs/>
          <w:iCs/>
          <w:sz w:val="28"/>
          <w:szCs w:val="28"/>
        </w:rPr>
        <w:t>50</w:t>
      </w:r>
      <w:r w:rsidR="00027B00">
        <w:rPr>
          <w:bCs/>
          <w:iCs/>
          <w:sz w:val="28"/>
          <w:szCs w:val="28"/>
        </w:rPr>
        <w:t>3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11 декабря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="004629F1">
        <w:t xml:space="preserve"> Е.Л.</w:t>
      </w:r>
      <w:r w:rsidRPr="002608D5">
        <w:t>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Фогель Н</w:t>
      </w:r>
      <w:r w:rsidR="00995188">
        <w:t>.</w:t>
      </w:r>
      <w:r>
        <w:t>В</w:t>
      </w:r>
      <w:r w:rsidR="00995188">
        <w:t>.</w:t>
      </w:r>
      <w:r>
        <w:t xml:space="preserve">, </w:t>
      </w:r>
      <w:r w:rsidR="00995188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707144" w:rsidP="00A01AD3">
      <w:pPr>
        <w:autoSpaceDE w:val="0"/>
        <w:autoSpaceDN w:val="0"/>
        <w:adjustRightInd w:val="0"/>
        <w:ind w:firstLine="570"/>
        <w:jc w:val="both"/>
      </w:pPr>
      <w:r>
        <w:t>Фогель Н.В.</w:t>
      </w:r>
      <w:r w:rsidRPr="00D66AFF" w:rsidR="00D66AFF">
        <w:t xml:space="preserve">, являясь </w:t>
      </w:r>
      <w:r>
        <w:t>индивидуальным предпринимателем</w:t>
      </w:r>
      <w:r w:rsidRPr="00D66AFF" w:rsidR="00D66AFF">
        <w:t xml:space="preserve">, зарегистрированного по </w:t>
      </w:r>
      <w:r w:rsidR="00995188">
        <w:t>«АДРЕС»</w:t>
      </w:r>
      <w:r w:rsidRPr="00D66AFF" w:rsidR="00D66AFF">
        <w:t xml:space="preserve"> в </w:t>
      </w:r>
      <w:r w:rsidRPr="00D66AFF" w:rsidR="00D66AFF">
        <w:t>г</w:t>
      </w:r>
      <w:r w:rsidRPr="00D66AFF" w:rsidR="00D66AFF">
        <w:t>.Я</w:t>
      </w:r>
      <w:r w:rsidRPr="00D66AFF" w:rsidR="00D66AFF">
        <w:t>лта</w:t>
      </w:r>
      <w:r w:rsidRPr="00D66AFF" w:rsidR="00D66AFF">
        <w:t>, Республика Крым (ОГРН</w:t>
      </w:r>
      <w:r>
        <w:t xml:space="preserve">ИП </w:t>
      </w:r>
      <w:r w:rsidR="00995188">
        <w:t>«НОМЕР»</w:t>
      </w:r>
      <w:r w:rsidRPr="00D66AFF" w:rsidR="00D66AFF">
        <w:t xml:space="preserve">), </w:t>
      </w:r>
      <w:r w:rsidRPr="00EA6C14" w:rsidR="00EA6C14">
        <w:t xml:space="preserve">сведения индивидуального (персонифицированного) учета по форме СЗВ-М за </w:t>
      </w:r>
      <w:r w:rsidR="00027B00">
        <w:t>август</w:t>
      </w:r>
      <w:r w:rsidRPr="00EA6C14" w:rsidR="00EA6C14">
        <w:t xml:space="preserve"> 2017 года – </w:t>
      </w:r>
      <w:r>
        <w:t>0</w:t>
      </w:r>
      <w:r w:rsidR="00027B00">
        <w:t>6 сентября</w:t>
      </w:r>
      <w:r w:rsidRPr="00EA6C14" w:rsidR="00EA6C14">
        <w:t xml:space="preserve"> 2017 года  с нарушением срока, установленного п.2.2 ст. 11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 15 </w:t>
      </w:r>
      <w:r w:rsidR="00027B00">
        <w:t>сентября</w:t>
      </w:r>
      <w:r w:rsidRPr="00EA6C14" w:rsidR="00EA6C14">
        <w:t xml:space="preserve"> 2017 года), то есть совершил</w:t>
      </w:r>
      <w:r>
        <w:t>а</w:t>
      </w:r>
      <w:r w:rsidRPr="00EA6C14" w:rsidR="00EA6C14">
        <w:t xml:space="preserve"> административное правонарушение, предусмотренное ст. 15.33.2 КоАП РФ.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>Фогель Н.В.</w:t>
      </w:r>
      <w:r>
        <w:rPr>
          <w:iCs/>
        </w:rPr>
        <w:t xml:space="preserve"> в</w:t>
      </w:r>
      <w:r w:rsidRPr="00B6366A">
        <w:rPr>
          <w:iCs/>
        </w:rPr>
        <w:t xml:space="preserve"> судебное заседание не явилась, о дне, времени и месте судебного разбирательства была извещена заблаговременно, надлежащим образом, однако мировому судье возвращен конверт с судебной повесткой с отметкой «Истек срок хранения».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B6366A">
        <w:rPr>
          <w:iCs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B6366A">
        <w:rPr>
          <w:iCs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 xml:space="preserve">Принимая во внимание, что в материалах дела имеются сведения о надлежащем извещении Фогель Н.В. о месте и времени рассмотрения дела, имеются предусмотренные законом основания для рассмотрения дела в её отсутствие.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>
        <w:rPr>
          <w:rFonts w:eastAsia="SimSun"/>
          <w:lang w:eastAsia="zh-CN"/>
        </w:rPr>
        <w:t>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995188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707144">
        <w:rPr>
          <w:iCs/>
        </w:rPr>
        <w:t>2</w:t>
      </w:r>
      <w:r>
        <w:rPr>
          <w:iCs/>
        </w:rPr>
        <w:t>2</w:t>
      </w:r>
      <w:r w:rsidR="0057031E">
        <w:rPr>
          <w:iCs/>
        </w:rPr>
        <w:t>.</w:t>
      </w:r>
      <w:r w:rsidR="00707144">
        <w:rPr>
          <w:iCs/>
        </w:rPr>
        <w:t>11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 w:rsidR="00587200">
        <w:t>форм</w:t>
      </w:r>
      <w:r w:rsidR="00587200">
        <w:t>ой</w:t>
      </w:r>
      <w:r w:rsidRPr="00587200" w:rsidR="00587200">
        <w:t xml:space="preserve"> СЗВ-М за</w:t>
      </w:r>
      <w:r w:rsidR="001B053D">
        <w:t xml:space="preserve"> </w:t>
      </w:r>
      <w:r w:rsidR="00027B00">
        <w:t>август</w:t>
      </w:r>
      <w:r w:rsidRPr="00587200" w:rsidR="00587200">
        <w:t xml:space="preserve"> 201</w:t>
      </w:r>
      <w:r w:rsidR="00707144">
        <w:t>7</w:t>
      </w:r>
      <w:r w:rsidRPr="00587200" w:rsidR="00587200">
        <w:t xml:space="preserve"> года</w:t>
      </w:r>
      <w:r w:rsidR="00587200"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 w:rsidR="00587200">
        <w:t xml:space="preserve"> </w:t>
      </w:r>
      <w:r w:rsidR="00C87B60">
        <w:t>выпиской из ЕГРЮЛ №</w:t>
      </w:r>
      <w:r>
        <w:t>34</w:t>
      </w:r>
      <w:r w:rsidR="00C87B60">
        <w:t xml:space="preserve"> от </w:t>
      </w:r>
      <w:r>
        <w:t>01</w:t>
      </w:r>
      <w:r w:rsidR="00C87B60">
        <w:t>.</w:t>
      </w:r>
      <w:r>
        <w:t>06</w:t>
      </w:r>
      <w:r w:rsidR="00C87B60">
        <w:t>.201</w:t>
      </w:r>
      <w:r w:rsidR="004629F1">
        <w:t xml:space="preserve">6 </w:t>
      </w:r>
      <w:r w:rsidR="00C87B60">
        <w:t>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6366A" w:rsidR="00B6366A">
        <w:t>Фогель Н.В.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B6366A" w:rsidR="00B6366A">
        <w:t>Фогель Н.В.</w:t>
      </w:r>
      <w:r w:rsidRPr="00A01AD3">
        <w:t xml:space="preserve"> е</w:t>
      </w:r>
      <w:r w:rsidR="004629F1">
        <w:t>ё</w:t>
      </w:r>
      <w:r w:rsidRPr="00A01AD3">
        <w:t xml:space="preserve">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B6366A" w:rsidR="00B6366A">
        <w:t>Фогель Н.В.</w:t>
      </w:r>
      <w:r w:rsidR="004629F1">
        <w:t xml:space="preserve"> </w:t>
      </w:r>
      <w:r w:rsidR="00A01AD3">
        <w:rPr>
          <w:rFonts w:eastAsia="SimSun"/>
          <w:lang w:eastAsia="zh-CN"/>
        </w:rPr>
        <w:t>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B6366A">
        <w:t>Фогель Н</w:t>
      </w:r>
      <w:r w:rsidR="00995188">
        <w:t>.</w:t>
      </w:r>
      <w:r>
        <w:t>В</w:t>
      </w:r>
      <w:r w:rsidR="00995188">
        <w:t>.</w:t>
      </w:r>
      <w:r w:rsidR="001B053D">
        <w:t xml:space="preserve"> </w:t>
      </w:r>
      <w:r w:rsidRPr="00237D88">
        <w:t>признать виновн</w:t>
      </w:r>
      <w:r w:rsidR="004629F1">
        <w:t>ой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4629F1">
        <w:t>ё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C16555" w:rsidP="00E10646">
      <w:pPr>
        <w:ind w:left="570"/>
        <w:jc w:val="both"/>
      </w:pPr>
    </w:p>
    <w:sectPr w:rsidSect="000C227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3A4-DDF6-4874-9E62-B7B3652A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