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31571F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147A6D">
        <w:rPr>
          <w:rStyle w:val="FontStyle16"/>
          <w:sz w:val="28"/>
          <w:szCs w:val="28"/>
        </w:rPr>
        <w:t>219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147A6D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147A6D">
        <w:rPr>
          <w:rStyle w:val="FontStyle16"/>
          <w:sz w:val="28"/>
          <w:szCs w:val="28"/>
        </w:rPr>
        <w:t>000724-85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апреля</w:t>
      </w:r>
      <w:r w:rsidR="00B22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Чекмарёва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Александра Анатольевича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 xml:space="preserve">за совершение административного правонарушения, предусмотренного ч.1 ст.20.25 Кодекса Российской Федерации об </w:t>
      </w:r>
      <w:r w:rsidRPr="0031571F">
        <w:rPr>
          <w:sz w:val="28"/>
          <w:szCs w:val="28"/>
        </w:rPr>
        <w:t>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Чекмарёв А.А.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по адресу: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в установленный законом срок не </w:t>
      </w:r>
      <w:r w:rsidRPr="0031571F" w:rsidR="00486EDD">
        <w:rPr>
          <w:rFonts w:eastAsia="Calibri"/>
          <w:sz w:val="28"/>
          <w:szCs w:val="28"/>
        </w:rPr>
        <w:t>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,00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>
        <w:rPr>
          <w:rFonts w:eastAsia="Calibri"/>
          <w:sz w:val="28"/>
          <w:szCs w:val="28"/>
        </w:rPr>
        <w:t>20.1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</w:t>
      </w:r>
      <w:r w:rsidRPr="0031571F">
        <w:rPr>
          <w:rFonts w:eastAsia="Calibri"/>
          <w:sz w:val="28"/>
          <w:szCs w:val="28"/>
        </w:rPr>
        <w:t>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147A6D">
        <w:rPr>
          <w:rFonts w:ascii="Times New Roman" w:hAnsi="Times New Roman" w:cs="Times New Roman"/>
          <w:sz w:val="28"/>
          <w:szCs w:val="28"/>
          <w:lang w:eastAsia="x-none"/>
        </w:rPr>
        <w:t>Чекмарёв А.А.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 xml:space="preserve"> 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31571F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31571F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</w:t>
      </w:r>
      <w:r w:rsidRPr="0031571F">
        <w:rPr>
          <w:rFonts w:ascii="Times New Roman" w:hAnsi="Times New Roman" w:cs="Times New Roman"/>
          <w:sz w:val="28"/>
          <w:szCs w:val="28"/>
        </w:rPr>
        <w:t>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</w:t>
      </w:r>
      <w:r w:rsidRPr="0031571F">
        <w:rPr>
          <w:rFonts w:eastAsia="Calibri"/>
          <w:sz w:val="28"/>
          <w:szCs w:val="28"/>
        </w:rPr>
        <w:t>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31571F">
        <w:rPr>
          <w:sz w:val="28"/>
          <w:szCs w:val="28"/>
          <w:lang w:eastAsia="uk-UA"/>
        </w:rPr>
        <w:t xml:space="preserve">трафа в законную силу, за исключением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</w:t>
      </w:r>
      <w:r w:rsidRPr="0031571F">
        <w:rPr>
          <w:rFonts w:eastAsia="Calibri"/>
          <w:sz w:val="28"/>
          <w:szCs w:val="28"/>
          <w:lang w:eastAsia="en-US"/>
        </w:rPr>
        <w:t xml:space="preserve">онарушениях постановление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</w:t>
      </w:r>
      <w:r w:rsidRPr="0031571F">
        <w:rPr>
          <w:rFonts w:eastAsia="Calibri"/>
          <w:sz w:val="28"/>
          <w:szCs w:val="28"/>
          <w:lang w:eastAsia="en-US"/>
        </w:rPr>
        <w:t>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t>Данные изъяты»,</w:t>
      </w:r>
      <w:r>
        <w:t xml:space="preserve"> </w:t>
      </w:r>
      <w:r w:rsidRPr="0031571F" w:rsidR="00147A6D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="00147A6D">
        <w:rPr>
          <w:rFonts w:eastAsia="Calibri"/>
          <w:sz w:val="28"/>
          <w:szCs w:val="28"/>
        </w:rPr>
        <w:t>Чекмарев</w:t>
      </w:r>
      <w:r w:rsidR="00147A6D">
        <w:rPr>
          <w:rFonts w:eastAsia="Calibri"/>
          <w:sz w:val="28"/>
          <w:szCs w:val="28"/>
        </w:rPr>
        <w:t xml:space="preserve"> А.А.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>,00 рублей, за со</w:t>
      </w:r>
      <w:r w:rsidRPr="0031571F">
        <w:rPr>
          <w:rFonts w:eastAsia="Calibri"/>
          <w:sz w:val="28"/>
          <w:szCs w:val="28"/>
        </w:rPr>
        <w:t xml:space="preserve">вершение административного правонарушения, предусмотренного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="00147A6D">
        <w:rPr>
          <w:rFonts w:eastAsia="Calibri"/>
          <w:sz w:val="28"/>
          <w:szCs w:val="28"/>
        </w:rPr>
        <w:t>20.1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t>Данные изъяты»,</w:t>
      </w:r>
      <w:r w:rsidRPr="0031571F" w:rsidR="004C5BCC">
        <w:rPr>
          <w:rFonts w:eastAsia="Calibri"/>
          <w:sz w:val="28"/>
          <w:szCs w:val="28"/>
        </w:rPr>
        <w:t xml:space="preserve"> 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</w:t>
      </w:r>
      <w:r w:rsidRPr="0031571F" w:rsidR="00486EDD">
        <w:rPr>
          <w:rFonts w:eastAsia="Calibri"/>
          <w:sz w:val="28"/>
          <w:szCs w:val="28"/>
        </w:rPr>
        <w:t>–</w:t>
      </w:r>
      <w:r>
        <w:t>Д</w:t>
      </w:r>
      <w:r>
        <w:t>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147A6D">
        <w:rPr>
          <w:sz w:val="28"/>
          <w:szCs w:val="28"/>
          <w:shd w:val="clear" w:color="auto" w:fill="FFFFFF"/>
        </w:rPr>
        <w:t>Чекмарёв А.А.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</w:t>
      </w:r>
      <w:r>
        <w:t>Данные изъяты»,</w:t>
      </w:r>
      <w: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147A6D">
        <w:rPr>
          <w:sz w:val="28"/>
          <w:szCs w:val="28"/>
          <w:shd w:val="clear" w:color="auto" w:fill="FFFFFF"/>
        </w:rPr>
        <w:t>Чекмарёва А.А.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>в совершении административного правонарушения, предусмотр</w:t>
      </w:r>
      <w:r w:rsidRPr="0031571F">
        <w:rPr>
          <w:rFonts w:eastAsia="Calibri"/>
          <w:sz w:val="28"/>
          <w:szCs w:val="28"/>
        </w:rPr>
        <w:t xml:space="preserve">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 года, составленным уполномоченн</w:t>
      </w:r>
      <w:r w:rsidRPr="0031571F">
        <w:rPr>
          <w:rFonts w:eastAsia="Calibri"/>
          <w:sz w:val="28"/>
          <w:szCs w:val="28"/>
        </w:rPr>
        <w:t>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147A6D">
        <w:rPr>
          <w:sz w:val="28"/>
          <w:szCs w:val="28"/>
          <w:shd w:val="clear" w:color="auto" w:fill="FFFFFF"/>
        </w:rPr>
        <w:t>Чекмарёва А.А.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31571F" w:rsidR="00147A6D">
        <w:rPr>
          <w:rFonts w:eastAsia="Calibri"/>
          <w:sz w:val="28"/>
          <w:szCs w:val="28"/>
        </w:rPr>
        <w:t xml:space="preserve"> года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1571F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147A6D">
        <w:rPr>
          <w:rFonts w:ascii="Times New Roman" w:eastAsia="Calibri" w:hAnsi="Times New Roman" w:cs="Times New Roman"/>
          <w:sz w:val="28"/>
          <w:szCs w:val="28"/>
        </w:rPr>
        <w:t>Чекмарёвым А.А.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>Срок давности привлечения к ад</w:t>
      </w:r>
      <w:r w:rsidRPr="0031571F">
        <w:rPr>
          <w:rFonts w:ascii="Times New Roman" w:eastAsia="Calibri" w:hAnsi="Times New Roman" w:cs="Times New Roman"/>
          <w:sz w:val="28"/>
          <w:szCs w:val="28"/>
        </w:rPr>
        <w:t>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установлено</w:t>
      </w:r>
      <w:r w:rsidRPr="003157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147A6D">
        <w:rPr>
          <w:rFonts w:ascii="Times New Roman" w:hAnsi="Times New Roman" w:cs="Times New Roman"/>
          <w:sz w:val="28"/>
          <w:szCs w:val="28"/>
          <w:shd w:val="clear" w:color="auto" w:fill="FFFFFF"/>
        </w:rPr>
        <w:t>Чекмарёву А.А.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имущественное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положение,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="00147A6D">
        <w:rPr>
          <w:rFonts w:ascii="Times New Roman" w:hAnsi="Times New Roman" w:cs="Times New Roman"/>
          <w:sz w:val="28"/>
          <w:szCs w:val="28"/>
          <w:shd w:val="clear" w:color="auto" w:fill="FFFFFF"/>
        </w:rPr>
        <w:t>Чекмарёву А.А.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</w:t>
      </w:r>
      <w:r w:rsidRPr="0031571F">
        <w:rPr>
          <w:rFonts w:eastAsia="Calibri"/>
          <w:sz w:val="28"/>
          <w:szCs w:val="28"/>
        </w:rPr>
        <w:t>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Чекмарёва Александра Анатольевича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31571F">
        <w:rPr>
          <w:rFonts w:eastAsia="Calibri"/>
          <w:sz w:val="28"/>
          <w:szCs w:val="28"/>
        </w:rPr>
        <w:t xml:space="preserve">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>административное наказание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>
        <w:t>Данные изъяты»,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1571F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1571F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</w:t>
      </w:r>
      <w:r w:rsidRPr="0031571F">
        <w:rPr>
          <w:rFonts w:eastAsia="Calibri"/>
          <w:sz w:val="28"/>
          <w:szCs w:val="28"/>
        </w:rPr>
        <w:t>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«28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147A6D">
        <w:rPr>
          <w:rFonts w:ascii="Times New Roman" w:eastAsia="Times New Roman" w:hAnsi="Times New Roman" w:cs="Times New Roman"/>
          <w:sz w:val="20"/>
          <w:szCs w:val="20"/>
        </w:rPr>
        <w:t>219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C013B"/>
    <w:rsid w:val="000D122A"/>
    <w:rsid w:val="000D1FDF"/>
    <w:rsid w:val="000D4F01"/>
    <w:rsid w:val="0012427E"/>
    <w:rsid w:val="001304EC"/>
    <w:rsid w:val="00131EBA"/>
    <w:rsid w:val="00147A6D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C18B3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3531C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124A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16D0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EA5E-78A0-4621-89EE-2F9979AA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