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035589">
        <w:rPr>
          <w:rFonts w:ascii="Times New Roman" w:hAnsi="Times New Roman" w:cs="Times New Roman"/>
          <w:sz w:val="24"/>
          <w:szCs w:val="24"/>
        </w:rPr>
        <w:t>11</w:t>
      </w:r>
      <w:r w:rsidR="005837B3">
        <w:rPr>
          <w:rFonts w:ascii="Times New Roman" w:hAnsi="Times New Roman" w:cs="Times New Roman"/>
          <w:sz w:val="24"/>
          <w:szCs w:val="24"/>
        </w:rPr>
        <w:t>90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035589">
        <w:rPr>
          <w:rFonts w:ascii="Times New Roman" w:hAnsi="Times New Roman" w:cs="Times New Roman"/>
          <w:sz w:val="24"/>
          <w:szCs w:val="24"/>
        </w:rPr>
        <w:t>11</w:t>
      </w:r>
      <w:r w:rsidR="005837B3">
        <w:rPr>
          <w:rFonts w:ascii="Times New Roman" w:hAnsi="Times New Roman" w:cs="Times New Roman"/>
          <w:sz w:val="24"/>
          <w:szCs w:val="24"/>
        </w:rPr>
        <w:t>90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>
        <w:t>16</w:t>
      </w:r>
      <w:r w:rsidRPr="00D002F8" w:rsidR="009A3A83">
        <w:t xml:space="preserve"> </w:t>
      </w:r>
      <w:r w:rsidR="00035589">
        <w:t>ноября</w:t>
      </w:r>
      <w:r w:rsidRPr="00D002F8">
        <w:t xml:space="preserve"> 20</w:t>
      </w:r>
      <w:r w:rsidRPr="00D002F8" w:rsidR="004C4682">
        <w:t>2</w:t>
      </w:r>
      <w:r w:rsidR="00FC7373">
        <w:t>1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>Малухин</w:t>
      </w:r>
      <w:r w:rsidRPr="00D002F8">
        <w:t xml:space="preserve"> В. В., при секретаре – </w:t>
      </w:r>
      <w:r w:rsidR="00035589">
        <w:t>Гупало</w:t>
      </w:r>
      <w:r w:rsidR="00035589">
        <w:t xml:space="preserve"> Е.А.,</w:t>
      </w:r>
      <w:r w:rsidRPr="00D002F8">
        <w:t xml:space="preserve"> </w:t>
      </w:r>
    </w:p>
    <w:p w:rsidR="00AE6BD6" w:rsidP="00035589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исковому заявлению</w:t>
      </w:r>
      <w:r w:rsidR="005D1ADC">
        <w:t xml:space="preserve"> </w:t>
      </w:r>
      <w:r w:rsidR="005837B3">
        <w:t xml:space="preserve">Общества с ограниченной ответственностью «Кузов </w:t>
      </w:r>
      <w:r w:rsidR="005837B3">
        <w:t>Маркет</w:t>
      </w:r>
      <w:r w:rsidR="005837B3">
        <w:t>» к Митягину Александру Викторовичу о взыскании денежных средств,</w:t>
      </w:r>
    </w:p>
    <w:p w:rsidR="00BF0683" w:rsidRPr="00D002F8" w:rsidP="005833CD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5837B3">
        <w:t xml:space="preserve">Общества с ограниченной ответственностью «Кузов </w:t>
      </w:r>
      <w:r w:rsidR="005837B3">
        <w:t>Маркет</w:t>
      </w:r>
      <w:r w:rsidR="005837B3">
        <w:t>» к Митягину Александру Викторови</w:t>
      </w:r>
      <w:r w:rsidR="005837B3">
        <w:t xml:space="preserve">чу о взыскании денежных средств </w:t>
      </w:r>
      <w:r w:rsidR="005837B3">
        <w:t>– удовлетворить частично.</w:t>
      </w:r>
    </w:p>
    <w:p w:rsidR="005D1ADC" w:rsidP="00D002F8">
      <w:pPr>
        <w:pStyle w:val="NoSpacing"/>
        <w:ind w:left="-540" w:firstLine="709"/>
        <w:jc w:val="both"/>
      </w:pPr>
      <w:r w:rsidRPr="00D002F8">
        <w:t xml:space="preserve">Взыскать с </w:t>
      </w:r>
      <w:r w:rsidR="005837B3">
        <w:t>Митягин</w:t>
      </w:r>
      <w:r w:rsidR="005837B3">
        <w:t>а</w:t>
      </w:r>
      <w:r w:rsidR="005837B3">
        <w:t xml:space="preserve"> Александр</w:t>
      </w:r>
      <w:r w:rsidR="005837B3">
        <w:t>а</w:t>
      </w:r>
      <w:r w:rsidR="005837B3">
        <w:t xml:space="preserve"> Викторович</w:t>
      </w:r>
      <w:r w:rsidR="005837B3">
        <w:t>а</w:t>
      </w:r>
      <w:r w:rsidR="005837B3">
        <w:t xml:space="preserve"> </w:t>
      </w:r>
      <w:r w:rsidRPr="00D002F8">
        <w:t xml:space="preserve">в пользу </w:t>
      </w:r>
      <w:r w:rsidR="005837B3">
        <w:t xml:space="preserve">Общества с ограниченной ответственностью «Кузов </w:t>
      </w:r>
      <w:r w:rsidR="005837B3">
        <w:t>Маркет</w:t>
      </w:r>
      <w:r w:rsidR="005837B3">
        <w:t>»</w:t>
      </w:r>
      <w:r w:rsidR="005837B3">
        <w:t xml:space="preserve"> сумму основного долга в размере 31 836,14 рублей, проценты за пользование чужими денежными средствами за период с 13.08.2020г. по 31.08.2021г. в размере 1560,99 рублей,</w:t>
      </w:r>
      <w:r w:rsidR="00035589">
        <w:t xml:space="preserve"> а всего в размере </w:t>
      </w:r>
      <w:r w:rsidR="005837B3">
        <w:t>33 397,13</w:t>
      </w:r>
      <w:r w:rsidR="00035589">
        <w:t xml:space="preserve"> рублей.</w:t>
      </w:r>
    </w:p>
    <w:p w:rsidR="005837B3" w:rsidP="00D002F8">
      <w:pPr>
        <w:pStyle w:val="NoSpacing"/>
        <w:ind w:left="-540" w:firstLine="709"/>
        <w:jc w:val="both"/>
      </w:pPr>
      <w:r w:rsidRPr="005837B3">
        <w:t>В остальной части исковых требований – отказать.</w:t>
      </w:r>
    </w:p>
    <w:p w:rsidR="00FC7373" w:rsidP="00D002F8">
      <w:pPr>
        <w:pStyle w:val="NoSpacing"/>
        <w:ind w:left="-540" w:firstLine="709"/>
        <w:jc w:val="both"/>
      </w:pPr>
      <w:r>
        <w:t xml:space="preserve">Взыскать с </w:t>
      </w:r>
      <w:r w:rsidR="005837B3">
        <w:t xml:space="preserve">Митягина Александра Викторовича </w:t>
      </w:r>
      <w:r w:rsidRPr="00D002F8" w:rsidR="00035589">
        <w:t xml:space="preserve">в пользу </w:t>
      </w:r>
      <w:r w:rsidR="005837B3">
        <w:t xml:space="preserve">Общества с ограниченной ответственностью «Кузов </w:t>
      </w:r>
      <w:r w:rsidR="005837B3">
        <w:t>Маркет</w:t>
      </w:r>
      <w:r w:rsidR="005837B3">
        <w:t>»</w:t>
      </w:r>
      <w:r w:rsidR="005837B3">
        <w:t xml:space="preserve"> </w:t>
      </w:r>
      <w:r w:rsidRPr="00D002F8" w:rsidR="00D002F8">
        <w:t xml:space="preserve">сумму государственной пошлины в размере </w:t>
      </w:r>
      <w:r w:rsidR="005837B3">
        <w:t>1 201,91</w:t>
      </w:r>
      <w:r>
        <w:t xml:space="preserve"> </w:t>
      </w:r>
      <w:r w:rsidRPr="00D002F8" w:rsidR="00D002F8">
        <w:t>рублей</w:t>
      </w:r>
      <w:r>
        <w:t>.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24B7-965C-4B13-9197-93CACA29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