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№02-0488/14/2023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№04216/15/83338-19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18,50% годовых с дата по дату его фактического взыскания.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02-0488/14/2023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02-0488/14/2023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