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№02-1176/14/2022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администратором фио, с участием представителя истца – фио, рассмотрев в открытом судебном заседании гражданское дело по исковому заявлению Егяна фио к Страховому наименование организации и фио, о возмещении ущерба и расходов на проведение независимой экспертизы,</w:t>
      </w:r>
    </w:p>
    <w:p w:rsidR="00A77B3E">
      <w:r>
        <w:t>руководствуясь статьями 194-198,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Егяна фио – удовлетворить частично.</w:t>
      </w:r>
    </w:p>
    <w:p w:rsidR="00A77B3E">
      <w:r>
        <w:t>Взыскать с фио (паспорт гражданина России 0914 №167349) в пользу Егяна фио (паспорт гражданина России 6009 №637114) в счет возмещения материального ущерба, причиненного в результате дорожно-транспортного происшествия сумма, расходы на проведение независимой экспертизы в размере сумма, судебные расходы в размере сумма, а всего взыскать сумма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Взыскать с фио в доход местного бюджета сумму госпошлины в размере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согласно ст. 199 ГПК РФ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