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№02-1318/14/2022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 М Е Н Е М Р О С С И Й С К О Й Ф Е Д Е Р А Ц И И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 по договору займа,</w:t>
      </w:r>
    </w:p>
    <w:p w:rsidR="00A77B3E">
      <w:r>
        <w:t>руководствуясь статьями 309-310, 807-811, ГК РФ, телефон,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 частично.</w:t>
      </w:r>
    </w:p>
    <w:p w:rsidR="00A77B3E">
      <w:r>
        <w:t>Взыскать с фио (паспорт гражданина России 3914 №553698) в пользу наименование организации (ИНН 4826120299) задолженность по договору займа №379-телефон от дата по состоянию на дата в размере сумма, состоящую из задолженности по основному долгу – сумма, пени (штраф) за период с дата по дата – сумма, а также взыскать расходы по уплате госпошлины в размере сумма, а всего взыскать сумма</w:t>
      </w:r>
    </w:p>
    <w:p w:rsidR="00A77B3E">
      <w:r>
        <w:t>В удовлетворении остальной части иска – отказать.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