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02-1983/14/2025</w:t>
      </w:r>
    </w:p>
    <w:p w:rsidR="00A77B3E">
      <w:r>
        <w:t>УИД 91MS0014-телефон-телефон</w:t>
      </w:r>
    </w:p>
    <w:p w:rsidR="00A77B3E"/>
    <w:p w:rsidR="00A77B3E">
      <w:r>
        <w:t>Р Е Ш Е Н И Е</w:t>
      </w:r>
    </w:p>
    <w:p w:rsidR="00A77B3E">
      <w:r>
        <w:t>И М Е Н Е М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адрес</w:t>
      </w:r>
    </w:p>
    <w:p w:rsidR="00A77B3E"/>
    <w:p w:rsidR="00A77B3E">
      <w:r>
        <w:t>суд в составе мирового судьи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/>
    <w:p w:rsidR="00A77B3E">
      <w:r>
        <w:t>р е ш и л :</w:t>
      </w:r>
    </w:p>
    <w:p w:rsidR="00A77B3E"/>
    <w:p w:rsidR="00A77B3E">
      <w:r>
        <w:t>в удовлетворении иска наименование организации – отказать в связи с пропуском срока исковой давности.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