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№04218/15/00166-16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22% годовых с дата по дату его фактического взыскания.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