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№04095/15/110195-19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проценты за пользование остатком основного долга, который по состоянию на дата составляет сумма, по ставке 18% годовых с дата по дату его фактического взыскания.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