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№02-6190/14/2022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Джемилову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Джемилова фио (паспортные данные) в пользу наименование организации (ИНН 7701105460) задолженность по кредитному договору №04264/16/501701302-18 от дата по состоянию на дата в размере сумма, состоящую из задолженности по основному долгу в размере сумма, процентов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02-6190/14/2022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02-6190/14/2022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02-6190/14/2022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