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FC6C6F">
        <w:rPr>
          <w:rFonts w:ascii="Times New Roman" w:hAnsi="Times New Roman" w:cs="Times New Roman"/>
          <w:sz w:val="28"/>
          <w:szCs w:val="28"/>
        </w:rPr>
        <w:t>009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FC6C6F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FC6C6F">
        <w:rPr>
          <w:sz w:val="28"/>
          <w:szCs w:val="28"/>
        </w:rPr>
        <w:t>12 января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9A290F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B824BD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B824BD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3434A6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C6C6F">
        <w:rPr>
          <w:sz w:val="28"/>
          <w:szCs w:val="28"/>
        </w:rPr>
        <w:t xml:space="preserve">Садоводческого потребительского кооператива «ОК </w:t>
      </w:r>
      <w:r w:rsidR="00FC6C6F">
        <w:rPr>
          <w:sz w:val="28"/>
          <w:szCs w:val="28"/>
        </w:rPr>
        <w:t>Мартовский</w:t>
      </w:r>
      <w:r w:rsidR="00FC6C6F">
        <w:rPr>
          <w:sz w:val="28"/>
          <w:szCs w:val="28"/>
        </w:rPr>
        <w:t xml:space="preserve">» к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Ирине Ивановне задолженности по ежегодным членским взносам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434A6" w:rsidRPr="003434A6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CB03A0" w:rsidP="00CB03A0">
      <w:pPr>
        <w:pStyle w:val="NoSpacing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установил:</w:t>
      </w:r>
    </w:p>
    <w:p w:rsidR="00CB03A0" w:rsidP="00CB03A0">
      <w:pPr>
        <w:pStyle w:val="NoSpacing"/>
        <w:jc w:val="center"/>
        <w:rPr>
          <w:bCs/>
          <w:color w:val="auto"/>
          <w:sz w:val="28"/>
          <w:szCs w:val="28"/>
        </w:rPr>
      </w:pPr>
    </w:p>
    <w:p w:rsidR="002B5B42" w:rsidP="00482E39">
      <w:pPr>
        <w:pStyle w:val="NoSpacing"/>
        <w:ind w:firstLine="567"/>
        <w:jc w:val="both"/>
        <w:rPr>
          <w:sz w:val="28"/>
          <w:szCs w:val="28"/>
        </w:rPr>
      </w:pPr>
      <w:r w:rsidRPr="003434A6">
        <w:rPr>
          <w:sz w:val="28"/>
          <w:szCs w:val="28"/>
        </w:rPr>
        <w:t xml:space="preserve">14 </w:t>
      </w:r>
      <w:r>
        <w:rPr>
          <w:sz w:val="28"/>
          <w:szCs w:val="28"/>
        </w:rPr>
        <w:t>сентября 2021</w:t>
      </w:r>
      <w:r w:rsidR="00CB03A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истец обратился в суд с иском к ответчику,</w:t>
      </w:r>
      <w:r w:rsidR="00CB03A0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 w:rsidRPr="003434A6" w:rsidR="00CB03A0">
        <w:rPr>
          <w:rStyle w:val="a1"/>
          <w:rFonts w:ascii="Times New Roman" w:hAnsi="Times New Roman" w:cs="Times New Roman"/>
          <w:b w:val="0"/>
          <w:sz w:val="28"/>
          <w:szCs w:val="28"/>
        </w:rPr>
        <w:t>мотивируя свои требования следующим.</w:t>
      </w:r>
      <w:r w:rsidR="00CB03A0">
        <w:rPr>
          <w:rStyle w:val="a1"/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Мисникова</w:t>
      </w:r>
      <w:r>
        <w:rPr>
          <w:sz w:val="28"/>
          <w:szCs w:val="28"/>
        </w:rPr>
        <w:t xml:space="preserve"> И.И.</w:t>
      </w:r>
      <w:r w:rsidR="00CB03A0">
        <w:rPr>
          <w:sz w:val="28"/>
          <w:szCs w:val="28"/>
        </w:rPr>
        <w:t xml:space="preserve"> является собственником земельного участка </w:t>
      </w:r>
      <w:r w:rsidR="00EF75E9">
        <w:t>&lt;данные изъяты&gt;</w:t>
      </w:r>
      <w:r w:rsidR="00CB03A0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="00CB03A0">
        <w:rPr>
          <w:sz w:val="28"/>
          <w:szCs w:val="28"/>
        </w:rPr>
        <w:t xml:space="preserve"> по адресу: </w:t>
      </w:r>
      <w:r w:rsidR="00EF75E9">
        <w:t>&lt;данные изъяты&gt;</w:t>
      </w:r>
      <w:r w:rsidR="00702CEB">
        <w:rPr>
          <w:sz w:val="28"/>
          <w:szCs w:val="28"/>
        </w:rPr>
        <w:t>,</w:t>
      </w:r>
      <w:r>
        <w:rPr>
          <w:sz w:val="28"/>
          <w:szCs w:val="28"/>
        </w:rPr>
        <w:t xml:space="preserve"> в границах Садоводческого потребительского кооператива «ОК </w:t>
      </w:r>
      <w:r>
        <w:rPr>
          <w:sz w:val="28"/>
          <w:szCs w:val="28"/>
        </w:rPr>
        <w:t>Мартовский</w:t>
      </w:r>
      <w:r>
        <w:rPr>
          <w:sz w:val="28"/>
          <w:szCs w:val="28"/>
        </w:rPr>
        <w:t xml:space="preserve">» </w:t>
      </w:r>
      <w:r w:rsidR="00CB03A0">
        <w:rPr>
          <w:sz w:val="28"/>
          <w:szCs w:val="28"/>
        </w:rPr>
        <w:t>без участия</w:t>
      </w:r>
      <w:r>
        <w:rPr>
          <w:sz w:val="28"/>
          <w:szCs w:val="28"/>
        </w:rPr>
        <w:t xml:space="preserve"> </w:t>
      </w:r>
      <w:r w:rsidRPr="00702CEB">
        <w:rPr>
          <w:sz w:val="28"/>
          <w:szCs w:val="28"/>
        </w:rPr>
        <w:t>Мисниковой</w:t>
      </w:r>
      <w:r w:rsidRPr="00702CEB">
        <w:rPr>
          <w:sz w:val="28"/>
          <w:szCs w:val="28"/>
        </w:rPr>
        <w:t xml:space="preserve"> И.И.</w:t>
      </w:r>
      <w:r w:rsidRPr="00702CEB" w:rsidR="00CB03A0">
        <w:rPr>
          <w:sz w:val="28"/>
          <w:szCs w:val="28"/>
        </w:rPr>
        <w:t xml:space="preserve"> в членстве </w:t>
      </w:r>
      <w:r w:rsidRPr="00702CEB" w:rsidR="00702CEB">
        <w:rPr>
          <w:sz w:val="28"/>
          <w:szCs w:val="28"/>
        </w:rPr>
        <w:t>кооператива</w:t>
      </w:r>
      <w:r w:rsidRPr="00702CEB" w:rsidR="00CB03A0">
        <w:rPr>
          <w:sz w:val="28"/>
          <w:szCs w:val="28"/>
        </w:rPr>
        <w:t xml:space="preserve">. </w:t>
      </w:r>
      <w:r w:rsidRPr="00702CEB" w:rsidR="00702CEB">
        <w:rPr>
          <w:sz w:val="28"/>
          <w:szCs w:val="28"/>
        </w:rPr>
        <w:t>В соответствии с пунктом 7 повестки дня годового общего собрания членов СПК ОК «Мартовский» от 21.02.2020 г (протокол №1) решено установить размер членских взносов для членов СПК «ОК Мартовский» на 2020 год исходя из ставки в 660 (шестьсот шестьдесят) рублей за 1 (одну) сотку (100 кв.м.) земельного участка принадлежащего члену СПК «ОК Мартовский», из которых 60 (шестьдесят) рублей отнести</w:t>
      </w:r>
      <w:r w:rsidRPr="00702CEB" w:rsidR="00702CEB">
        <w:rPr>
          <w:sz w:val="28"/>
          <w:szCs w:val="28"/>
        </w:rPr>
        <w:t xml:space="preserve"> к фонду СПК «ОК Мартовский», используемому для ликвидации аварий на сетях СПК «ОК Мартовский». Срок оплаты данных взносов - не позднее 15.03.2020г.</w:t>
      </w:r>
      <w:r w:rsidR="00BB363D">
        <w:rPr>
          <w:sz w:val="28"/>
          <w:szCs w:val="28"/>
        </w:rPr>
        <w:t xml:space="preserve"> Бюджетный 2021 год установлен аналогично, срок оплаты взносов не позднее 15.03.2021г. Исходя из п</w:t>
      </w:r>
      <w:r w:rsidR="00CB03A0">
        <w:rPr>
          <w:sz w:val="28"/>
          <w:szCs w:val="28"/>
        </w:rPr>
        <w:t>лощад</w:t>
      </w:r>
      <w:r w:rsidR="00BB363D">
        <w:rPr>
          <w:sz w:val="28"/>
          <w:szCs w:val="28"/>
        </w:rPr>
        <w:t>и</w:t>
      </w:r>
      <w:r w:rsidR="00CB03A0">
        <w:rPr>
          <w:sz w:val="28"/>
          <w:szCs w:val="28"/>
        </w:rPr>
        <w:t xml:space="preserve"> земельного участка, принадлежащего ответчику, </w:t>
      </w:r>
      <w:r w:rsidR="00BB363D">
        <w:rPr>
          <w:sz w:val="28"/>
          <w:szCs w:val="28"/>
        </w:rPr>
        <w:t>р</w:t>
      </w:r>
      <w:r w:rsidR="00CB03A0">
        <w:rPr>
          <w:sz w:val="28"/>
          <w:szCs w:val="28"/>
        </w:rPr>
        <w:t>азмер суммарной платы за 20</w:t>
      </w:r>
      <w:r w:rsidR="00BB363D">
        <w:rPr>
          <w:sz w:val="28"/>
          <w:szCs w:val="28"/>
        </w:rPr>
        <w:t>21</w:t>
      </w:r>
      <w:r w:rsidR="00CB03A0">
        <w:rPr>
          <w:sz w:val="28"/>
          <w:szCs w:val="28"/>
        </w:rPr>
        <w:t xml:space="preserve"> год составляет </w:t>
      </w:r>
      <w:r w:rsidR="00BB363D">
        <w:rPr>
          <w:sz w:val="28"/>
          <w:szCs w:val="28"/>
        </w:rPr>
        <w:t>6600</w:t>
      </w:r>
      <w:r w:rsidR="00CB03A0">
        <w:rPr>
          <w:sz w:val="28"/>
          <w:szCs w:val="28"/>
        </w:rPr>
        <w:t xml:space="preserve"> руб., который необходимо было внести до </w:t>
      </w:r>
      <w:r w:rsidR="00B52A85">
        <w:rPr>
          <w:sz w:val="28"/>
          <w:szCs w:val="28"/>
        </w:rPr>
        <w:t>15</w:t>
      </w:r>
      <w:r w:rsidR="00CB03A0">
        <w:rPr>
          <w:sz w:val="28"/>
          <w:szCs w:val="28"/>
        </w:rPr>
        <w:t>.0</w:t>
      </w:r>
      <w:r w:rsidR="00B52A85">
        <w:rPr>
          <w:sz w:val="28"/>
          <w:szCs w:val="28"/>
        </w:rPr>
        <w:t>3</w:t>
      </w:r>
      <w:r w:rsidR="00CB03A0">
        <w:rPr>
          <w:sz w:val="28"/>
          <w:szCs w:val="28"/>
        </w:rPr>
        <w:t>.20</w:t>
      </w:r>
      <w:r w:rsidR="00B52A85">
        <w:rPr>
          <w:sz w:val="28"/>
          <w:szCs w:val="28"/>
        </w:rPr>
        <w:t>2</w:t>
      </w:r>
      <w:r w:rsidR="00BE5597">
        <w:rPr>
          <w:sz w:val="28"/>
          <w:szCs w:val="28"/>
        </w:rPr>
        <w:t>1</w:t>
      </w:r>
      <w:r w:rsidR="00CB03A0">
        <w:rPr>
          <w:sz w:val="28"/>
          <w:szCs w:val="28"/>
        </w:rPr>
        <w:t xml:space="preserve">г. До настоящего времени ответчик оплату не произвел, в </w:t>
      </w:r>
      <w:r w:rsidR="00CB03A0">
        <w:rPr>
          <w:sz w:val="28"/>
          <w:szCs w:val="28"/>
        </w:rPr>
        <w:t>связи</w:t>
      </w:r>
      <w:r w:rsidR="00CB03A0">
        <w:rPr>
          <w:sz w:val="28"/>
          <w:szCs w:val="28"/>
        </w:rPr>
        <w:t xml:space="preserve"> с чем </w:t>
      </w:r>
      <w:r w:rsidR="00B52A85">
        <w:rPr>
          <w:sz w:val="28"/>
          <w:szCs w:val="28"/>
        </w:rPr>
        <w:t>истец просит суд взыскать</w:t>
      </w:r>
      <w:r>
        <w:rPr>
          <w:sz w:val="28"/>
          <w:szCs w:val="28"/>
        </w:rPr>
        <w:t xml:space="preserve"> с ответчика</w:t>
      </w:r>
      <w:r w:rsidR="00B52A85">
        <w:rPr>
          <w:sz w:val="28"/>
          <w:szCs w:val="28"/>
        </w:rPr>
        <w:t xml:space="preserve"> указанную сумму, </w:t>
      </w:r>
      <w:r>
        <w:rPr>
          <w:sz w:val="28"/>
          <w:szCs w:val="28"/>
        </w:rPr>
        <w:t xml:space="preserve">расходы на получение выписки из ЕГРН в размере 290 рублей, почтовые </w:t>
      </w:r>
      <w:r>
        <w:rPr>
          <w:sz w:val="28"/>
          <w:szCs w:val="28"/>
        </w:rPr>
        <w:t xml:space="preserve">расходы в размере 145 рублей 64 коп., расходы по оплате государственной пошлины в размере 400 рублей., </w:t>
      </w:r>
      <w:r w:rsidR="00B52A85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проценты, начисленные в порядке ст. 395 ГК РФ за пользование чужими денежными средствами, за период с 16.03.2021г. по день фактической уплаты суммы задолженности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И.И. в пользу СПК «ОК Мартовский», при этом размер процентов определяется </w:t>
      </w:r>
      <w:hyperlink r:id="rId5" w:history="1">
        <w:r w:rsidRPr="00892EE8">
          <w:rPr>
            <w:color w:val="auto"/>
            <w:sz w:val="28"/>
            <w:szCs w:val="28"/>
          </w:rPr>
          <w:t>ключевой ставкой</w:t>
        </w:r>
      </w:hyperlink>
      <w:r>
        <w:rPr>
          <w:sz w:val="28"/>
          <w:szCs w:val="28"/>
        </w:rPr>
        <w:t xml:space="preserve"> Банка России, действовавшей</w:t>
      </w:r>
      <w:r>
        <w:rPr>
          <w:sz w:val="28"/>
          <w:szCs w:val="28"/>
        </w:rPr>
        <w:t xml:space="preserve"> в соответствующие периоды.</w:t>
      </w:r>
    </w:p>
    <w:p w:rsidR="00CB03A0" w:rsidP="00CB03A0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истца  в судебное заседание не явился, о времени и месте рассмотрения дела истец извещён надлежащим образом, при этом представитель истца обратил</w:t>
      </w:r>
      <w:r w:rsidR="00482E3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 суду</w:t>
      </w:r>
      <w:r w:rsidR="00482E39">
        <w:rPr>
          <w:rFonts w:ascii="Times New Roman" w:hAnsi="Times New Roman" w:cs="Times New Roman"/>
          <w:sz w:val="28"/>
          <w:szCs w:val="28"/>
        </w:rPr>
        <w:t xml:space="preserve"> с заявлением, в котором просил рассмотреть дело в его</w:t>
      </w:r>
      <w:r>
        <w:rPr>
          <w:rFonts w:ascii="Times New Roman" w:hAnsi="Times New Roman" w:cs="Times New Roman"/>
          <w:sz w:val="28"/>
          <w:szCs w:val="28"/>
        </w:rPr>
        <w:t xml:space="preserve"> отсутствие</w:t>
      </w:r>
      <w:r w:rsidR="00482E39">
        <w:rPr>
          <w:rFonts w:ascii="Times New Roman" w:hAnsi="Times New Roman" w:cs="Times New Roman"/>
          <w:sz w:val="28"/>
          <w:szCs w:val="28"/>
        </w:rPr>
        <w:t>, исковые требования поддержал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 (л.д. </w:t>
      </w:r>
      <w:r w:rsidR="00482E39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B03A0" w:rsidP="00CB03A0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 судебное заседание не явилась, о времени и месте рассмотрения дела извещалась надлежащим образом</w:t>
      </w:r>
      <w:r w:rsidR="0059260B">
        <w:rPr>
          <w:rFonts w:ascii="Times New Roman" w:hAnsi="Times New Roman" w:cs="Times New Roman"/>
          <w:sz w:val="28"/>
          <w:szCs w:val="28"/>
        </w:rPr>
        <w:t xml:space="preserve"> по месту регистрации (л.д. 92)</w:t>
      </w:r>
      <w:r>
        <w:rPr>
          <w:rFonts w:ascii="Times New Roman" w:hAnsi="Times New Roman" w:cs="Times New Roman"/>
          <w:sz w:val="28"/>
          <w:szCs w:val="28"/>
        </w:rPr>
        <w:t>, о причинах неявки суду не сообщила, каких-либо заявлений или ходатайств в адрес суда от ответчика не поступало.</w:t>
      </w:r>
    </w:p>
    <w:p w:rsidR="00CB03A0" w:rsidP="00CB03A0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167 ГПК РФ суд считает возможным рассмотреть дело в отсутствие сторон.</w:t>
      </w:r>
    </w:p>
    <w:p w:rsidR="00CB03A0" w:rsidRPr="00AF1676" w:rsidP="00CB03A0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Исследовав материалы дела, суд приходит к следующим выводам.</w:t>
      </w:r>
    </w:p>
    <w:p w:rsidR="00AF1676" w:rsidP="00AF1676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</w:t>
      </w:r>
      <w:hyperlink r:id="rId6" w:history="1">
        <w:r w:rsidRPr="00AF1676">
          <w:rPr>
            <w:rStyle w:val="Hyperlink"/>
            <w:color w:val="auto"/>
            <w:sz w:val="28"/>
            <w:szCs w:val="28"/>
            <w:u w:val="none"/>
          </w:rPr>
          <w:t>ст. 123.2</w:t>
        </w:r>
      </w:hyperlink>
      <w:r w:rsidRPr="00AF1676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ГК РФ,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</w:t>
      </w:r>
    </w:p>
    <w:p w:rsidR="00AF1676" w:rsidRPr="007E596A" w:rsidP="007E596A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Устав потребительского кооператива должен содержать сведения о наименовании и месте нахождения кооператива, предмете и целях его деятельности, условия о размере паевых взносов членов кооператива, составе и порядке внесения паевых взносов членами кооператива и об их ответственности за нарушение обязательства по внесению паевых взносов, о составе и компетенции органов кооператива и порядке принятия ими решений, в том числе по вопросам, решения</w:t>
      </w:r>
      <w:r>
        <w:rPr>
          <w:sz w:val="28"/>
          <w:szCs w:val="28"/>
        </w:rPr>
        <w:t xml:space="preserve"> по которым принимаются единогласно или квалифицированным большинством голосов, </w:t>
      </w:r>
      <w:r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покрытия членами кооператива понесенных им убытков.</w:t>
      </w:r>
    </w:p>
    <w:p w:rsidR="00CB03A0" w:rsidP="00CB03A0">
      <w:pPr>
        <w:pStyle w:val="NoSpacing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частью 1 статьи 5 </w:t>
      </w:r>
      <w:r>
        <w:rPr>
          <w:sz w:val="28"/>
          <w:szCs w:val="28"/>
        </w:rPr>
        <w:t>Федерального закона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(далее по тексту - Федеральный закон от 29.07.2017 N 217-ФЗ)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</w:t>
      </w:r>
      <w:r>
        <w:rPr>
          <w:bCs/>
          <w:sz w:val="28"/>
          <w:szCs w:val="28"/>
        </w:rPr>
        <w:t xml:space="preserve">, без участия в товариществе может осуществляться собственниками или в случаях, установленных </w:t>
      </w:r>
      <w:hyperlink r:id="rId7" w:history="1">
        <w:r w:rsidRPr="00F92B9F">
          <w:rPr>
            <w:rStyle w:val="Hyperlink"/>
            <w:bCs/>
            <w:color w:val="auto"/>
            <w:sz w:val="28"/>
            <w:szCs w:val="28"/>
            <w:u w:val="none"/>
          </w:rPr>
          <w:t>частью 11 статьи 12</w:t>
        </w:r>
      </w:hyperlink>
      <w:r w:rsidRPr="00F92B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CB03A0" w:rsidP="00CB03A0">
      <w:pPr>
        <w:pStyle w:val="NoSpacing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Лица, указанные в </w:t>
      </w:r>
      <w:hyperlink r:id="rId8" w:anchor="Par2" w:history="1">
        <w:r w:rsidRPr="00F92B9F">
          <w:rPr>
            <w:rStyle w:val="Hyperlink"/>
            <w:bCs/>
            <w:color w:val="auto"/>
            <w:sz w:val="28"/>
            <w:szCs w:val="28"/>
            <w:u w:val="none"/>
          </w:rPr>
          <w:t>части 1</w:t>
        </w:r>
      </w:hyperlink>
      <w:r>
        <w:rPr>
          <w:bCs/>
          <w:sz w:val="28"/>
          <w:szCs w:val="28"/>
        </w:rPr>
        <w:t xml:space="preserve">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 (ч.2 ст.5</w:t>
      </w:r>
      <w:r>
        <w:rPr>
          <w:sz w:val="28"/>
          <w:szCs w:val="28"/>
        </w:rPr>
        <w:t xml:space="preserve"> Федерального закона от 29.07.2017 N 217-ФЗ</w:t>
      </w:r>
      <w:r>
        <w:rPr>
          <w:bCs/>
          <w:sz w:val="28"/>
          <w:szCs w:val="28"/>
        </w:rPr>
        <w:t>).</w:t>
      </w:r>
    </w:p>
    <w:p w:rsidR="00CB03A0" w:rsidRPr="00F92B9F" w:rsidP="00CB03A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F92B9F">
        <w:rPr>
          <w:rFonts w:eastAsiaTheme="minorHAnsi"/>
          <w:bCs/>
          <w:sz w:val="28"/>
          <w:szCs w:val="28"/>
          <w:lang w:eastAsia="en-US"/>
        </w:rPr>
        <w:t xml:space="preserve">Лица, указанные в </w:t>
      </w:r>
      <w:hyperlink r:id="rId8" w:anchor="Par2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</w:t>
      </w:r>
      <w:hyperlink r:id="rId9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для уплаты взносов членами товарищества </w:t>
      </w:r>
      <w:r w:rsidRPr="00F92B9F">
        <w:rPr>
          <w:bCs/>
          <w:sz w:val="28"/>
          <w:szCs w:val="28"/>
        </w:rPr>
        <w:t>(ч.3 ст</w:t>
      </w:r>
      <w:r w:rsidRPr="00F92B9F">
        <w:rPr>
          <w:bCs/>
          <w:sz w:val="28"/>
          <w:szCs w:val="28"/>
        </w:rPr>
        <w:t>.</w:t>
      </w:r>
      <w:r w:rsidRPr="00F92B9F">
        <w:rPr>
          <w:bCs/>
          <w:sz w:val="28"/>
          <w:szCs w:val="28"/>
        </w:rPr>
        <w:t>5</w:t>
      </w:r>
      <w:r w:rsidRPr="00F92B9F">
        <w:rPr>
          <w:sz w:val="28"/>
          <w:szCs w:val="28"/>
        </w:rPr>
        <w:t xml:space="preserve"> Федерального закона от 29.07.2017 N 217-ФЗ</w:t>
      </w:r>
      <w:r w:rsidRPr="00F92B9F">
        <w:rPr>
          <w:bCs/>
          <w:sz w:val="28"/>
          <w:szCs w:val="28"/>
        </w:rPr>
        <w:t>)</w:t>
      </w:r>
      <w:r w:rsidRPr="00F92B9F">
        <w:rPr>
          <w:rFonts w:eastAsiaTheme="minorHAnsi"/>
          <w:bCs/>
          <w:sz w:val="28"/>
          <w:szCs w:val="28"/>
          <w:lang w:eastAsia="en-US"/>
        </w:rPr>
        <w:t>.</w:t>
      </w:r>
    </w:p>
    <w:p w:rsidR="00CB03A0" w:rsidRPr="00F92B9F" w:rsidP="00CB03A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F92B9F">
        <w:rPr>
          <w:rFonts w:eastAsiaTheme="minorHAnsi"/>
          <w:bCs/>
          <w:sz w:val="28"/>
          <w:szCs w:val="28"/>
          <w:lang w:eastAsia="en-US"/>
        </w:rPr>
        <w:t xml:space="preserve">Суммарный ежегодный размер платы, предусмотренной </w:t>
      </w:r>
      <w:hyperlink r:id="rId8" w:anchor="Par4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частью 3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</w:t>
      </w:r>
      <w:hyperlink r:id="rId10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и уставом товарищества</w:t>
      </w:r>
      <w:r w:rsidRPr="00F92B9F">
        <w:rPr>
          <w:bCs/>
          <w:sz w:val="28"/>
          <w:szCs w:val="28"/>
        </w:rPr>
        <w:t xml:space="preserve"> (ч.4 ст.5</w:t>
      </w:r>
      <w:r w:rsidRPr="00F92B9F">
        <w:rPr>
          <w:sz w:val="28"/>
          <w:szCs w:val="28"/>
        </w:rPr>
        <w:t xml:space="preserve"> Федерального закона от 29.07.2017 N 217-ФЗ</w:t>
      </w:r>
      <w:r w:rsidRPr="00F92B9F">
        <w:rPr>
          <w:bCs/>
          <w:sz w:val="28"/>
          <w:szCs w:val="28"/>
        </w:rPr>
        <w:t>)</w:t>
      </w:r>
      <w:r w:rsidRPr="00F92B9F">
        <w:rPr>
          <w:rFonts w:eastAsiaTheme="minorHAnsi"/>
          <w:bCs/>
          <w:sz w:val="28"/>
          <w:szCs w:val="28"/>
          <w:lang w:eastAsia="en-US"/>
        </w:rPr>
        <w:t>.</w:t>
      </w:r>
    </w:p>
    <w:p w:rsidR="00CB03A0" w:rsidRPr="00F92B9F" w:rsidP="00CB03A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F92B9F">
        <w:rPr>
          <w:rFonts w:eastAsiaTheme="minorHAnsi"/>
          <w:bCs/>
          <w:sz w:val="28"/>
          <w:szCs w:val="28"/>
          <w:lang w:eastAsia="en-US"/>
        </w:rPr>
        <w:t xml:space="preserve">В случае невнесения платы, предусмотренной </w:t>
      </w:r>
      <w:hyperlink r:id="rId8" w:anchor="Par4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частью 3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данная плата взыскивается товариществом в судебном порядке </w:t>
      </w:r>
      <w:r w:rsidRPr="00F92B9F">
        <w:rPr>
          <w:bCs/>
          <w:sz w:val="28"/>
          <w:szCs w:val="28"/>
        </w:rPr>
        <w:t>(ч.5 ст.5</w:t>
      </w:r>
      <w:r w:rsidRPr="00F92B9F">
        <w:rPr>
          <w:sz w:val="28"/>
          <w:szCs w:val="28"/>
        </w:rPr>
        <w:t xml:space="preserve"> Федерального закона от 29.07.2017 N 217-ФЗ</w:t>
      </w:r>
      <w:r w:rsidRPr="00F92B9F">
        <w:rPr>
          <w:bCs/>
          <w:sz w:val="28"/>
          <w:szCs w:val="28"/>
        </w:rPr>
        <w:t>)</w:t>
      </w:r>
      <w:r w:rsidRPr="00F92B9F">
        <w:rPr>
          <w:rFonts w:eastAsiaTheme="minorHAnsi"/>
          <w:bCs/>
          <w:sz w:val="28"/>
          <w:szCs w:val="28"/>
          <w:lang w:eastAsia="en-US"/>
        </w:rPr>
        <w:t>.</w:t>
      </w:r>
      <w:r w:rsidRPr="00F92B9F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</w:p>
    <w:p w:rsidR="00CB03A0" w:rsidP="00CB03A0">
      <w:pPr>
        <w:autoSpaceDE w:val="0"/>
        <w:autoSpaceDN w:val="0"/>
        <w:adjustRightInd w:val="0"/>
        <w:ind w:firstLine="539"/>
        <w:jc w:val="both"/>
        <w:rPr>
          <w:rFonts w:eastAsiaTheme="minorHAnsi"/>
          <w:bCs/>
          <w:sz w:val="28"/>
          <w:szCs w:val="28"/>
          <w:lang w:eastAsia="en-US"/>
        </w:rPr>
      </w:pPr>
      <w:r w:rsidRPr="00F92B9F">
        <w:rPr>
          <w:rFonts w:eastAsiaTheme="minorHAnsi"/>
          <w:bCs/>
          <w:sz w:val="28"/>
          <w:szCs w:val="28"/>
          <w:lang w:eastAsia="en-US"/>
        </w:rPr>
        <w:t xml:space="preserve">Лица, указанные в </w:t>
      </w:r>
      <w:hyperlink r:id="rId8" w:anchor="Par2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вправе принимать участие в общем собрании членов товарищества. По вопросам, указанным в </w:t>
      </w:r>
      <w:hyperlink r:id="rId11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пунктах 4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- </w:t>
      </w:r>
      <w:hyperlink r:id="rId12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6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13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21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r:id="rId14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22 части 1 статьи 17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настоящего Федерального закона, лица, указанные в </w:t>
      </w:r>
      <w:hyperlink r:id="rId8" w:anchor="Par2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вправе принимать участие в голосовании при принятии по указанным вопросам решений общим собранием членов товарищества. По иным вопросам повестки общего собрания членов товарищества лица, указанные в </w:t>
      </w:r>
      <w:hyperlink r:id="rId8" w:anchor="Par2" w:history="1">
        <w:r w:rsidRPr="00F92B9F">
          <w:rPr>
            <w:rStyle w:val="Hyperlink"/>
            <w:rFonts w:eastAsiaTheme="minorHAns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F92B9F">
        <w:rPr>
          <w:rFonts w:eastAsiaTheme="minorHAnsi"/>
          <w:bCs/>
          <w:sz w:val="28"/>
          <w:szCs w:val="28"/>
          <w:lang w:eastAsia="en-US"/>
        </w:rPr>
        <w:t xml:space="preserve"> настоящей статьи, в голосовании при принятии решения общим собранием членов товарищества участия не принимают </w:t>
      </w:r>
      <w:r w:rsidRPr="00F92B9F">
        <w:rPr>
          <w:bCs/>
          <w:sz w:val="28"/>
          <w:szCs w:val="28"/>
        </w:rPr>
        <w:t>(ч.6 ст.5</w:t>
      </w:r>
      <w:r w:rsidRPr="00F92B9F">
        <w:rPr>
          <w:sz w:val="28"/>
          <w:szCs w:val="28"/>
        </w:rPr>
        <w:t xml:space="preserve"> Федерального закона от 29.07.2017 N 217-ФЗ</w:t>
      </w:r>
      <w:r w:rsidRPr="00F92B9F">
        <w:rPr>
          <w:bCs/>
          <w:sz w:val="28"/>
          <w:szCs w:val="28"/>
        </w:rPr>
        <w:t>)</w:t>
      </w:r>
      <w:r w:rsidRPr="00F92B9F">
        <w:rPr>
          <w:rFonts w:eastAsiaTheme="minorHAnsi"/>
          <w:bCs/>
          <w:sz w:val="28"/>
          <w:szCs w:val="28"/>
          <w:lang w:eastAsia="en-US"/>
        </w:rPr>
        <w:t>.</w:t>
      </w:r>
    </w:p>
    <w:p w:rsidR="00CB03A0" w:rsidP="00CB03A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Частями 1-4 статьи 14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Федерального закона от 29.07.2017 N 217-ФЗ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установлено нижеследующее.</w:t>
      </w:r>
    </w:p>
    <w:p w:rsidR="00CB03A0" w:rsidP="00CB03A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зносы членов товарищества могут быть следующих видов:</w:t>
      </w:r>
    </w:p>
    <w:p w:rsidR="00CB03A0" w:rsidP="00CB03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членские взносы;</w:t>
      </w:r>
    </w:p>
    <w:p w:rsidR="00CB03A0" w:rsidP="00CB03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целевые взносы.</w:t>
      </w:r>
    </w:p>
    <w:p w:rsidR="00CB03A0" w:rsidP="00CB03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раза в месяц) и срок внесения членских взносов определяются уставом товарищества. </w:t>
      </w:r>
    </w:p>
    <w:p w:rsidR="00887914" w:rsidRPr="00887914" w:rsidP="0088791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87914">
        <w:rPr>
          <w:color w:val="000000" w:themeColor="text1"/>
          <w:sz w:val="28"/>
          <w:szCs w:val="28"/>
        </w:rPr>
        <w:t>Согласно ч. 27 ст. 17 Федерального закона от 29.07.2017 N 217-ФЗ</w:t>
      </w:r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решения общего собрания членов товарищества являются обязательными для исполнения лицами, указанными в </w:t>
      </w:r>
      <w:hyperlink r:id="rId15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части 1 статьи 5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Федерального закона  (собственниками садовых участков, не являющихся членами товарищества, к которым относится ответчик) в случае, если такие решения принимаются по вопросам, указанным в </w:t>
      </w:r>
      <w:hyperlink r:id="rId16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пунктах 4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- </w:t>
      </w:r>
      <w:hyperlink r:id="rId17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6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8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21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</w:t>
      </w:r>
      <w:hyperlink r:id="rId19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22 части 1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настоящей</w:t>
      </w:r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статьи.</w:t>
      </w:r>
    </w:p>
    <w:p w:rsidR="00887914" w:rsidRPr="00887914" w:rsidP="00887914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пунктом </w:t>
      </w:r>
      <w:hyperlink r:id="rId18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21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статьи 17  </w:t>
      </w:r>
      <w:r w:rsidRPr="00887914">
        <w:rPr>
          <w:color w:val="000000" w:themeColor="text1"/>
          <w:sz w:val="28"/>
          <w:szCs w:val="28"/>
        </w:rPr>
        <w:t>Федерального закона от 29.07.2017 N 217-ФЗ</w:t>
      </w:r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к исключительной компетенции общего собрания членов товарищества относится определение размера и срока внесения взносов, порядка расходования целевых взносов, а также размера и срока внесения платы, предусмотренной </w:t>
      </w:r>
      <w:hyperlink r:id="rId20" w:history="1">
        <w:r w:rsidRPr="00887914">
          <w:rPr>
            <w:rStyle w:val="Hyperlink"/>
            <w:rFonts w:eastAsiaTheme="minorHAnsi"/>
            <w:color w:val="000000" w:themeColor="text1"/>
            <w:sz w:val="28"/>
            <w:szCs w:val="28"/>
            <w:u w:val="none"/>
            <w:lang w:eastAsia="en-US"/>
          </w:rPr>
          <w:t>частью 3 статьи 5</w:t>
        </w:r>
      </w:hyperlink>
      <w:r w:rsidRPr="0088791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Федерального закона.</w:t>
      </w:r>
    </w:p>
    <w:p w:rsidR="00CB03A0" w:rsidRPr="00BE5597" w:rsidP="00CB03A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E559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Ответчик </w:t>
      </w:r>
      <w:r w:rsidRPr="00BE5597">
        <w:rPr>
          <w:rFonts w:eastAsiaTheme="minorHAnsi"/>
          <w:color w:val="000000" w:themeColor="text1"/>
          <w:sz w:val="28"/>
          <w:szCs w:val="28"/>
          <w:lang w:eastAsia="en-US"/>
        </w:rPr>
        <w:t>является собственником земельного участка</w:t>
      </w:r>
      <w:r w:rsidRPr="00986EB8" w:rsidR="00986EB8">
        <w:rPr>
          <w:color w:val="000000" w:themeColor="text1"/>
          <w:sz w:val="28"/>
          <w:szCs w:val="28"/>
        </w:rPr>
        <w:t xml:space="preserve"> </w:t>
      </w:r>
      <w:r w:rsidRPr="00BE5597" w:rsidR="00986EB8">
        <w:rPr>
          <w:color w:val="000000" w:themeColor="text1"/>
          <w:sz w:val="28"/>
          <w:szCs w:val="28"/>
        </w:rPr>
        <w:t xml:space="preserve">площадью </w:t>
      </w:r>
      <w:r w:rsidR="00EF75E9">
        <w:t>&lt;данные изъяты</w:t>
      </w:r>
      <w:r w:rsidR="00EF75E9">
        <w:t>&gt;</w:t>
      </w:r>
      <w:r w:rsidRPr="00BE5597" w:rsidR="00EF75E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BE5597" w:rsidR="00603545">
        <w:rPr>
          <w:rFonts w:eastAsiaTheme="minorHAnsi"/>
          <w:color w:val="000000" w:themeColor="text1"/>
          <w:sz w:val="28"/>
          <w:szCs w:val="28"/>
          <w:lang w:eastAsia="en-US"/>
        </w:rPr>
        <w:t>(када</w:t>
      </w:r>
      <w:r w:rsidR="00986EB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стровый номер </w:t>
      </w:r>
      <w:r w:rsidR="00EF75E9">
        <w:t>&lt;данные изъяты&gt;</w:t>
      </w:r>
      <w:r w:rsidR="00986EB8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Pr="00BE5597" w:rsidR="006E4829">
        <w:rPr>
          <w:color w:val="000000" w:themeColor="text1"/>
          <w:sz w:val="28"/>
          <w:szCs w:val="28"/>
        </w:rPr>
        <w:t xml:space="preserve">, расположенного по адресу: </w:t>
      </w:r>
      <w:r w:rsidR="00EF75E9">
        <w:t>&lt;данные изъяты&gt;</w:t>
      </w:r>
      <w:r w:rsidRPr="00BE559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что подтверждается выпиской из ЕГРН (л.д. </w:t>
      </w:r>
      <w:r w:rsidRPr="00BE5597" w:rsidR="006E4829">
        <w:rPr>
          <w:rFonts w:eastAsiaTheme="minorHAnsi"/>
          <w:color w:val="000000" w:themeColor="text1"/>
          <w:sz w:val="28"/>
          <w:szCs w:val="28"/>
          <w:lang w:eastAsia="en-US"/>
        </w:rPr>
        <w:t>64-65</w:t>
      </w:r>
      <w:r w:rsidRPr="00BE5597">
        <w:rPr>
          <w:rFonts w:eastAsiaTheme="minorHAnsi"/>
          <w:color w:val="000000" w:themeColor="text1"/>
          <w:sz w:val="28"/>
          <w:szCs w:val="28"/>
          <w:lang w:eastAsia="en-US"/>
        </w:rPr>
        <w:t>).</w:t>
      </w:r>
    </w:p>
    <w:p w:rsidR="00BE5597" w:rsidRPr="0027294E" w:rsidP="0027294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Из</w:t>
      </w:r>
      <w:r w:rsidRPr="00BE5597" w:rsidR="00CB03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справки </w:t>
      </w:r>
      <w:r w:rsidR="00546A73">
        <w:rPr>
          <w:rFonts w:eastAsiaTheme="minorHAnsi"/>
          <w:color w:val="000000" w:themeColor="text1"/>
          <w:sz w:val="28"/>
          <w:szCs w:val="28"/>
          <w:lang w:eastAsia="en-US"/>
        </w:rPr>
        <w:t>СПК «ОК Мартовский»</w:t>
      </w:r>
      <w:r w:rsidRPr="00BE5597" w:rsidR="00CB03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усматривается, что </w:t>
      </w:r>
      <w:r w:rsidRPr="00BE5597" w:rsidR="00CB03A0">
        <w:rPr>
          <w:rFonts w:eastAsiaTheme="minorHAnsi"/>
          <w:color w:val="000000" w:themeColor="text1"/>
          <w:sz w:val="28"/>
          <w:szCs w:val="28"/>
          <w:lang w:eastAsia="en-US"/>
        </w:rPr>
        <w:t>указанн</w:t>
      </w:r>
      <w:r w:rsidR="00546A73">
        <w:rPr>
          <w:rFonts w:eastAsiaTheme="minorHAnsi"/>
          <w:color w:val="000000" w:themeColor="text1"/>
          <w:sz w:val="28"/>
          <w:szCs w:val="28"/>
          <w:lang w:eastAsia="en-US"/>
        </w:rPr>
        <w:t>ый</w:t>
      </w:r>
      <w:r w:rsidRPr="00BE5597" w:rsidR="00CB03A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участ</w:t>
      </w:r>
      <w:r w:rsidR="00546A73">
        <w:rPr>
          <w:rFonts w:eastAsiaTheme="minorHAnsi"/>
          <w:color w:val="000000" w:themeColor="text1"/>
          <w:sz w:val="28"/>
          <w:szCs w:val="28"/>
          <w:lang w:eastAsia="en-US"/>
        </w:rPr>
        <w:t>ок находится на территории СПК «ОК Мартовский»</w:t>
      </w:r>
      <w:r w:rsidRPr="00BE5597" w:rsidR="00546A73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BE5597" w:rsidR="00CB03A0">
        <w:rPr>
          <w:rFonts w:eastAsiaTheme="minorHAnsi"/>
          <w:color w:val="000000" w:themeColor="text1"/>
          <w:sz w:val="28"/>
          <w:szCs w:val="28"/>
        </w:rPr>
        <w:t>(</w:t>
      </w:r>
      <w:r w:rsidRPr="00BE5597" w:rsidR="00CB03A0">
        <w:rPr>
          <w:rFonts w:eastAsiaTheme="minorHAnsi"/>
          <w:color w:val="000000" w:themeColor="text1"/>
          <w:sz w:val="28"/>
          <w:szCs w:val="28"/>
        </w:rPr>
        <w:t>л</w:t>
      </w:r>
      <w:r w:rsidRPr="00BE5597" w:rsidR="00CB03A0">
        <w:rPr>
          <w:rFonts w:eastAsiaTheme="minorHAnsi"/>
          <w:color w:val="000000" w:themeColor="text1"/>
          <w:sz w:val="28"/>
          <w:szCs w:val="28"/>
        </w:rPr>
        <w:t xml:space="preserve">.д. </w:t>
      </w:r>
      <w:r w:rsidRPr="00BE5597" w:rsidR="00603545">
        <w:rPr>
          <w:rFonts w:eastAsiaTheme="minorHAnsi"/>
          <w:color w:val="000000" w:themeColor="text1"/>
          <w:sz w:val="28"/>
          <w:szCs w:val="28"/>
        </w:rPr>
        <w:t>31</w:t>
      </w:r>
      <w:r w:rsidRPr="00BE5597" w:rsidR="00CB03A0">
        <w:rPr>
          <w:rFonts w:eastAsiaTheme="minorHAnsi"/>
          <w:color w:val="000000" w:themeColor="text1"/>
          <w:sz w:val="28"/>
          <w:szCs w:val="28"/>
        </w:rPr>
        <w:t>).</w:t>
      </w:r>
    </w:p>
    <w:p w:rsidR="0027294E" w:rsidP="00CB0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2CEB">
        <w:rPr>
          <w:sz w:val="28"/>
          <w:szCs w:val="28"/>
        </w:rPr>
        <w:t>В соответствии с пунктом 7 повестки дня годового общего собрания членов от 21.02.2020 г (протокол №1) решено установить размер членских взносов для членов СПК «ОК Мартовский» на 2020 год исходя из ставки в 660 (шестьсот шестьдесят) рублей за 1 (одну) сотку (100 кв.м.) земельного участка принадлежащего члену СПК «ОК Мартовский», из которых 60 (шестьдесят) рублей отнести к фонду СПК</w:t>
      </w:r>
      <w:r w:rsidRPr="00702CEB">
        <w:rPr>
          <w:sz w:val="28"/>
          <w:szCs w:val="28"/>
        </w:rPr>
        <w:t xml:space="preserve"> «ОК </w:t>
      </w:r>
      <w:r w:rsidRPr="00702CEB">
        <w:rPr>
          <w:sz w:val="28"/>
          <w:szCs w:val="28"/>
        </w:rPr>
        <w:t>Мартовский</w:t>
      </w:r>
      <w:r w:rsidRPr="00702CEB">
        <w:rPr>
          <w:sz w:val="28"/>
          <w:szCs w:val="28"/>
        </w:rPr>
        <w:t>», используемому для ликвидации аварий на сетях СПК «ОК Мартовский». Срок оплаты данных взносов - не позднее 15.03.2020г</w:t>
      </w:r>
      <w:r w:rsidRPr="00702CEB">
        <w:rPr>
          <w:sz w:val="28"/>
          <w:szCs w:val="28"/>
        </w:rPr>
        <w:t>.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л.д. 29)</w:t>
      </w:r>
      <w:r>
        <w:rPr>
          <w:sz w:val="28"/>
          <w:szCs w:val="28"/>
        </w:rPr>
        <w:t xml:space="preserve"> </w:t>
      </w:r>
    </w:p>
    <w:p w:rsidR="0027294E" w:rsidP="00CB03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иска усматривается, что бюджет на</w:t>
      </w:r>
      <w:r w:rsidR="00BE5597">
        <w:rPr>
          <w:sz w:val="28"/>
          <w:szCs w:val="28"/>
        </w:rPr>
        <w:t xml:space="preserve"> 2021 год установлен аналогично, срок оплаты </w:t>
      </w:r>
      <w:r w:rsidR="008B17E5">
        <w:rPr>
          <w:sz w:val="28"/>
          <w:szCs w:val="28"/>
        </w:rPr>
        <w:t xml:space="preserve">взносов не позднее 15.03.2021г., при этом  ответчик не является членом </w:t>
      </w:r>
      <w:r w:rsidRPr="00702CEB" w:rsidR="008B17E5">
        <w:rPr>
          <w:sz w:val="28"/>
          <w:szCs w:val="28"/>
        </w:rPr>
        <w:t>СПК ОК «Мартовский»</w:t>
      </w:r>
      <w:r w:rsidR="008B17E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.д. </w:t>
      </w:r>
      <w:r w:rsidR="00784435">
        <w:rPr>
          <w:sz w:val="28"/>
          <w:szCs w:val="28"/>
        </w:rPr>
        <w:t xml:space="preserve">1-2, </w:t>
      </w:r>
      <w:r>
        <w:rPr>
          <w:sz w:val="28"/>
          <w:szCs w:val="28"/>
        </w:rPr>
        <w:t>4).</w:t>
      </w:r>
      <w:r w:rsidR="002F72C6">
        <w:rPr>
          <w:sz w:val="28"/>
          <w:szCs w:val="28"/>
        </w:rPr>
        <w:t xml:space="preserve"> Данн</w:t>
      </w:r>
      <w:r w:rsidR="008B17E5">
        <w:rPr>
          <w:sz w:val="28"/>
          <w:szCs w:val="28"/>
        </w:rPr>
        <w:t>ы</w:t>
      </w:r>
      <w:r w:rsidR="002F72C6">
        <w:rPr>
          <w:sz w:val="28"/>
          <w:szCs w:val="28"/>
        </w:rPr>
        <w:t>е обстоятельств</w:t>
      </w:r>
      <w:r w:rsidR="008B17E5">
        <w:rPr>
          <w:sz w:val="28"/>
          <w:szCs w:val="28"/>
        </w:rPr>
        <w:t>а</w:t>
      </w:r>
      <w:r w:rsidR="002F72C6">
        <w:rPr>
          <w:sz w:val="28"/>
          <w:szCs w:val="28"/>
        </w:rPr>
        <w:t xml:space="preserve"> никем оспорен</w:t>
      </w:r>
      <w:r w:rsidR="008B17E5">
        <w:rPr>
          <w:sz w:val="28"/>
          <w:szCs w:val="28"/>
        </w:rPr>
        <w:t>ы</w:t>
      </w:r>
      <w:r w:rsidR="002F72C6">
        <w:rPr>
          <w:sz w:val="28"/>
          <w:szCs w:val="28"/>
        </w:rPr>
        <w:t xml:space="preserve"> не был</w:t>
      </w:r>
      <w:r w:rsidR="008B17E5">
        <w:rPr>
          <w:sz w:val="28"/>
          <w:szCs w:val="28"/>
        </w:rPr>
        <w:t>и</w:t>
      </w:r>
      <w:r w:rsidR="002F72C6">
        <w:rPr>
          <w:sz w:val="28"/>
          <w:szCs w:val="28"/>
        </w:rPr>
        <w:t xml:space="preserve">, какие-либо возражения по данному поводу </w:t>
      </w:r>
      <w:r w:rsidR="004D3A36">
        <w:rPr>
          <w:sz w:val="28"/>
          <w:szCs w:val="28"/>
        </w:rPr>
        <w:t>в суд</w:t>
      </w:r>
      <w:r w:rsidR="002F72C6">
        <w:rPr>
          <w:sz w:val="28"/>
          <w:szCs w:val="28"/>
        </w:rPr>
        <w:t xml:space="preserve"> </w:t>
      </w:r>
      <w:r w:rsidR="004D3A36">
        <w:rPr>
          <w:sz w:val="28"/>
          <w:szCs w:val="28"/>
        </w:rPr>
        <w:t>не поступали</w:t>
      </w:r>
      <w:r w:rsidR="002F72C6">
        <w:rPr>
          <w:sz w:val="28"/>
          <w:szCs w:val="28"/>
        </w:rPr>
        <w:t>.</w:t>
      </w:r>
    </w:p>
    <w:p w:rsidR="00BE5597" w:rsidRPr="00603545" w:rsidP="00CB03A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FF0000"/>
          <w:sz w:val="40"/>
          <w:szCs w:val="40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сходя из площади земельного участка, принадлежащего ответчику, размер суммарной платы за 2021 год составляет 6600 руб.</w:t>
      </w:r>
      <w:r w:rsidR="00784435">
        <w:rPr>
          <w:sz w:val="28"/>
          <w:szCs w:val="28"/>
        </w:rPr>
        <w:t xml:space="preserve"> (660 рублей Х 10 </w:t>
      </w:r>
      <w:r w:rsidR="00784435">
        <w:rPr>
          <w:sz w:val="28"/>
          <w:szCs w:val="28"/>
        </w:rPr>
        <w:t>соток = 6600 рублей)</w:t>
      </w:r>
      <w:r>
        <w:rPr>
          <w:sz w:val="28"/>
          <w:szCs w:val="28"/>
        </w:rPr>
        <w:t>, которы</w:t>
      </w:r>
      <w:r w:rsidR="00784435">
        <w:rPr>
          <w:sz w:val="28"/>
          <w:szCs w:val="28"/>
        </w:rPr>
        <w:t>е</w:t>
      </w:r>
      <w:r>
        <w:rPr>
          <w:sz w:val="28"/>
          <w:szCs w:val="28"/>
        </w:rPr>
        <w:t xml:space="preserve"> необходимо было внести</w:t>
      </w:r>
      <w:r>
        <w:rPr>
          <w:sz w:val="28"/>
          <w:szCs w:val="28"/>
        </w:rPr>
        <w:t xml:space="preserve"> ответчику</w:t>
      </w:r>
      <w:r>
        <w:rPr>
          <w:sz w:val="28"/>
          <w:szCs w:val="28"/>
        </w:rPr>
        <w:t xml:space="preserve"> до 15.03.202</w:t>
      </w:r>
      <w:r w:rsidR="00CF1C72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CB03A0" w:rsidRPr="00784435" w:rsidP="00CB03A0">
      <w:pPr>
        <w:pStyle w:val="BodyText"/>
        <w:spacing w:line="240" w:lineRule="auto"/>
        <w:ind w:left="20"/>
        <w:rPr>
          <w:color w:val="000000" w:themeColor="text1"/>
        </w:rPr>
      </w:pPr>
      <w:r w:rsidRPr="00784435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>Доказательства осуществления ответчиком взнос</w:t>
      </w:r>
      <w:r w:rsidR="00887914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784435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качестве платы  за</w:t>
      </w:r>
      <w:r w:rsidRPr="00784435">
        <w:rPr>
          <w:rStyle w:val="a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435" w:rsidR="00784435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Pr="00784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не были представлены суду и отсутствуют в материалах дела.</w:t>
      </w:r>
    </w:p>
    <w:p w:rsidR="00CB03A0" w:rsidP="00CB03A0">
      <w:pPr>
        <w:pStyle w:val="BodyText"/>
        <w:spacing w:line="240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>Учитывая вышеизложенное</w:t>
      </w:r>
      <w:r w:rsidRPr="00784435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суд приходит </w:t>
      </w:r>
      <w:r w:rsidRPr="00784435">
        <w:rPr>
          <w:rStyle w:val="a1"/>
          <w:rFonts w:ascii="Times New Roman" w:hAnsi="Times New Roman" w:cs="Times New Roman"/>
          <w:b w:val="0"/>
          <w:color w:val="000000" w:themeColor="text1"/>
          <w:sz w:val="28"/>
          <w:szCs w:val="28"/>
        </w:rPr>
        <w:t>к выводу об обоснованности требований истца в части взыскания с</w:t>
      </w:r>
      <w:r w:rsidRPr="00784435">
        <w:rPr>
          <w:rStyle w:val="a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4435">
        <w:rPr>
          <w:rFonts w:ascii="Times New Roman" w:hAnsi="Times New Roman" w:cs="Times New Roman"/>
          <w:color w:val="000000" w:themeColor="text1"/>
          <w:sz w:val="28"/>
          <w:szCs w:val="28"/>
        </w:rPr>
        <w:t>ответчика задолженности по взносам</w:t>
      </w:r>
      <w:r w:rsidRPr="00784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(плате) за 20</w:t>
      </w:r>
      <w:r w:rsidRPr="00784435" w:rsidR="00784435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7844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в размере </w:t>
      </w:r>
      <w:r w:rsidRPr="00784435" w:rsidR="00784435">
        <w:rPr>
          <w:rFonts w:ascii="Times New Roman" w:hAnsi="Times New Roman" w:cs="Times New Roman"/>
          <w:sz w:val="28"/>
          <w:szCs w:val="28"/>
        </w:rPr>
        <w:t>6600 руб</w:t>
      </w:r>
      <w:r w:rsidR="00C43042">
        <w:rPr>
          <w:rFonts w:ascii="Times New Roman" w:hAnsi="Times New Roman" w:cs="Times New Roman"/>
          <w:sz w:val="28"/>
          <w:szCs w:val="28"/>
        </w:rPr>
        <w:t>лей</w:t>
      </w:r>
      <w:r w:rsidRPr="007844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5ECB" w:rsidP="00887914">
      <w:pPr>
        <w:pStyle w:val="BodyText"/>
        <w:spacing w:line="240" w:lineRule="auto"/>
        <w:ind w:left="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791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п.п.1,3 ст. 395 ГК РФ в</w:t>
      </w:r>
      <w:r w:rsidRPr="00887914">
        <w:rPr>
          <w:rFonts w:ascii="Times New Roman" w:hAnsi="Times New Roman" w:cs="Times New Roman"/>
          <w:sz w:val="28"/>
          <w:szCs w:val="28"/>
        </w:rPr>
        <w:t xml:space="preserve">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ставкой Банка России, действовавшей в соответствующие периоды. Эти правила применяются, если иной размер процентов не установлен законом или договором. Проценты за пользование чужими средствами взимаются по день уплаты суммы этих сре</w:t>
      </w:r>
      <w:r w:rsidRPr="00887914">
        <w:rPr>
          <w:rFonts w:ascii="Times New Roman" w:hAnsi="Times New Roman" w:cs="Times New Roman"/>
          <w:sz w:val="28"/>
          <w:szCs w:val="28"/>
        </w:rPr>
        <w:t>дств кр</w:t>
      </w:r>
      <w:r w:rsidRPr="00887914">
        <w:rPr>
          <w:rFonts w:ascii="Times New Roman" w:hAnsi="Times New Roman" w:cs="Times New Roman"/>
          <w:sz w:val="28"/>
          <w:szCs w:val="28"/>
        </w:rPr>
        <w:t>едитору, если законом, иными правовыми актами или договором не установлен для начисления процентов более короткий срок.</w:t>
      </w:r>
    </w:p>
    <w:p w:rsidR="000A5ECB" w:rsidP="000A5ECB">
      <w:pPr>
        <w:ind w:firstLine="540"/>
        <w:jc w:val="both"/>
        <w:rPr>
          <w:sz w:val="28"/>
          <w:szCs w:val="28"/>
        </w:rPr>
      </w:pPr>
      <w:r w:rsidRPr="007C32DA">
        <w:rPr>
          <w:sz w:val="28"/>
          <w:szCs w:val="28"/>
        </w:rPr>
        <w:t xml:space="preserve">Согласно п. 48 Постановления Пленума Верховного Суда РФ от 24.03.2016 N 7 (ред. от 22.06.2021) "О применении судами некоторых положений Гражданского кодекса Российской Федерации об ответственности за нарушение обязательств" </w:t>
      </w:r>
      <w:r w:rsidRPr="007C32DA">
        <w:rPr>
          <w:sz w:val="28"/>
          <w:szCs w:val="28"/>
        </w:rPr>
        <w:t>с</w:t>
      </w:r>
      <w:r w:rsidRPr="000A5ECB">
        <w:rPr>
          <w:sz w:val="28"/>
          <w:szCs w:val="28"/>
        </w:rPr>
        <w:t>умма процентов, подлежащих взысканию по правилам статьи 395 ГК РФ, определяется на день вынесения решения судом исходя из периодов, имевших место до указанного дня.</w:t>
      </w:r>
      <w:r w:rsidRPr="000A5ECB">
        <w:rPr>
          <w:sz w:val="28"/>
          <w:szCs w:val="28"/>
        </w:rPr>
        <w:t xml:space="preserve"> Проценты за пользование чужими денежными средствами по требованию истца взимаются по день уплаты этих сре</w:t>
      </w:r>
      <w:r w:rsidRPr="000A5ECB">
        <w:rPr>
          <w:sz w:val="28"/>
          <w:szCs w:val="28"/>
        </w:rPr>
        <w:t>дств кр</w:t>
      </w:r>
      <w:r w:rsidRPr="000A5ECB">
        <w:rPr>
          <w:sz w:val="28"/>
          <w:szCs w:val="28"/>
        </w:rPr>
        <w:t>едитору. Одновременно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фактического исполнения обязательства (пункт 3 статьи 395 ГК РФ). При этом день фактического исполнения обязательства, в частности уплаты задолженности кредитору, включается в период расчета процентов.</w:t>
      </w:r>
    </w:p>
    <w:p w:rsidR="00887914" w:rsidRPr="000A5ECB" w:rsidP="0088791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 требование истца о взыскании с ответчика процентов, начисленных в порядке ст. 395 ГК РФ за пользование чужими денежными средствами, за период с 16.03.2021г. по день фактической уплаты суммы задолженности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И.И. в пользу СПК «ОК Мартовский», </w:t>
      </w:r>
      <w:r w:rsidR="00ED78EB">
        <w:rPr>
          <w:sz w:val="28"/>
          <w:szCs w:val="28"/>
        </w:rPr>
        <w:t xml:space="preserve">также обоснованно, в </w:t>
      </w:r>
      <w:r w:rsidR="00ED78EB">
        <w:rPr>
          <w:sz w:val="28"/>
          <w:szCs w:val="28"/>
        </w:rPr>
        <w:t>связи</w:t>
      </w:r>
      <w:r w:rsidR="00ED78EB">
        <w:rPr>
          <w:sz w:val="28"/>
          <w:szCs w:val="28"/>
        </w:rPr>
        <w:t xml:space="preserve"> с чем </w:t>
      </w:r>
      <w:r>
        <w:rPr>
          <w:sz w:val="28"/>
          <w:szCs w:val="28"/>
        </w:rPr>
        <w:t xml:space="preserve"> </w:t>
      </w:r>
      <w:r w:rsidR="00ED78EB">
        <w:rPr>
          <w:sz w:val="28"/>
          <w:szCs w:val="28"/>
        </w:rPr>
        <w:t xml:space="preserve">иск </w:t>
      </w:r>
      <w:r>
        <w:rPr>
          <w:sz w:val="28"/>
          <w:szCs w:val="28"/>
        </w:rPr>
        <w:t>подлежит удовлетворению судом</w:t>
      </w:r>
      <w:r w:rsidR="00ED78EB">
        <w:rPr>
          <w:sz w:val="28"/>
          <w:szCs w:val="28"/>
        </w:rPr>
        <w:t xml:space="preserve"> в полном объёме</w:t>
      </w:r>
      <w:r>
        <w:rPr>
          <w:sz w:val="28"/>
          <w:szCs w:val="28"/>
        </w:rPr>
        <w:t>.</w:t>
      </w:r>
    </w:p>
    <w:p w:rsidR="00887914" w:rsidP="00CB03A0">
      <w:pPr>
        <w:pStyle w:val="ConsPlusNormal"/>
        <w:ind w:firstLine="540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ч.1 ст. 98 ГПК Российской Федерации с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</w:t>
      </w:r>
      <w:r w:rsidRPr="0088791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21" w:history="1">
        <w:r w:rsidRPr="00887914">
          <w:rPr>
            <w:rStyle w:val="Hyperlink"/>
            <w:rFonts w:ascii="Times New Roman" w:hAnsi="Times New Roman" w:eastAsiaTheme="minorHAnsi" w:cs="Times New Roman"/>
            <w:color w:val="000000" w:themeColor="text1"/>
            <w:sz w:val="28"/>
            <w:szCs w:val="28"/>
            <w:u w:val="none"/>
            <w:lang w:eastAsia="en-US"/>
          </w:rPr>
          <w:t>частью второй статьи 96</w:t>
        </w:r>
      </w:hyperlink>
      <w:r w:rsidRPr="00887914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/>
        </w:rPr>
        <w:t xml:space="preserve"> настоящего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Кодекса. </w:t>
      </w:r>
    </w:p>
    <w:p w:rsidR="00CB03A0" w:rsidP="00CB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 ответчика в пользу истца подлежат взысканию расходы по оплате государственной пошлины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F7459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размере 400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599" w:rsidRPr="00F74599" w:rsidP="00F74599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Кроме этого в соответствии со ст. 94 ГПК РФ  с ответчика подлежит взысканию связанные с рассмотрением дела почтовые расходы в размере 145 рубль 64 коп</w:t>
      </w:r>
      <w:r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расходы на получение выписки из ЕГРН в размере 290 рублей</w:t>
      </w:r>
      <w:r>
        <w:rPr>
          <w:color w:val="auto"/>
          <w:sz w:val="28"/>
          <w:szCs w:val="28"/>
        </w:rPr>
        <w:t xml:space="preserve">, понесенные истцом, и подтверждённые соответствующими доказательствами, имеющимися в деле (л.д. 8, 32). </w:t>
      </w:r>
    </w:p>
    <w:p w:rsidR="003945AB" w:rsidRPr="00CA58F3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9A290F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EF75E9" w:rsidP="00707818">
      <w:pPr>
        <w:pStyle w:val="NoSpacing"/>
        <w:jc w:val="center"/>
        <w:rPr>
          <w:b/>
          <w:sz w:val="28"/>
          <w:szCs w:val="28"/>
        </w:rPr>
      </w:pPr>
    </w:p>
    <w:p w:rsidR="00EF75E9" w:rsidP="00707818">
      <w:pPr>
        <w:pStyle w:val="NoSpacing"/>
        <w:jc w:val="center"/>
        <w:rPr>
          <w:b/>
          <w:sz w:val="28"/>
          <w:szCs w:val="28"/>
        </w:rPr>
      </w:pP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Иск </w:t>
      </w:r>
      <w:r w:rsidR="00FC6C6F">
        <w:rPr>
          <w:sz w:val="28"/>
          <w:szCs w:val="28"/>
        </w:rPr>
        <w:t xml:space="preserve">Садоводческого потребительского кооператива «ОК Мартовский» к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Ирине Ивановне задолженности по ежегодным членским взносам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892EE8" w:rsidP="00892E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FC6C6F">
        <w:rPr>
          <w:sz w:val="28"/>
          <w:szCs w:val="28"/>
        </w:rPr>
        <w:t>Мисниковой</w:t>
      </w:r>
      <w:r w:rsidR="00FC6C6F">
        <w:rPr>
          <w:sz w:val="28"/>
          <w:szCs w:val="28"/>
        </w:rPr>
        <w:t xml:space="preserve"> Ирины Ивановны</w:t>
      </w:r>
      <w:r w:rsidRPr="00CA58F3" w:rsidR="00C41F57">
        <w:rPr>
          <w:sz w:val="28"/>
          <w:szCs w:val="28"/>
        </w:rPr>
        <w:t xml:space="preserve"> в пользу </w:t>
      </w:r>
      <w:r w:rsidR="00FC6C6F">
        <w:rPr>
          <w:sz w:val="28"/>
          <w:szCs w:val="28"/>
        </w:rPr>
        <w:t>Садоводческого потребительского кооператива «ОК Мартовский»</w:t>
      </w:r>
      <w:r w:rsidRPr="00CA58F3" w:rsidR="0072720E">
        <w:rPr>
          <w:sz w:val="28"/>
          <w:szCs w:val="28"/>
        </w:rPr>
        <w:t xml:space="preserve"> </w:t>
      </w:r>
      <w:r w:rsidR="003B3083">
        <w:rPr>
          <w:sz w:val="28"/>
          <w:szCs w:val="28"/>
        </w:rPr>
        <w:t xml:space="preserve">сумму задолженности по </w:t>
      </w:r>
      <w:r w:rsidR="00FC6C6F">
        <w:rPr>
          <w:sz w:val="28"/>
          <w:szCs w:val="28"/>
        </w:rPr>
        <w:t>ежегодным членским взносам за 2021 год</w:t>
      </w:r>
      <w:r w:rsidR="00D34377">
        <w:rPr>
          <w:sz w:val="28"/>
          <w:szCs w:val="28"/>
        </w:rPr>
        <w:t xml:space="preserve"> в размере </w:t>
      </w:r>
      <w:r w:rsidR="00FC6C6F">
        <w:rPr>
          <w:sz w:val="28"/>
          <w:szCs w:val="28"/>
        </w:rPr>
        <w:t>6 600</w:t>
      </w:r>
      <w:r w:rsidR="00D3437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</w:t>
      </w:r>
      <w:r w:rsidR="008048E0">
        <w:rPr>
          <w:sz w:val="28"/>
          <w:szCs w:val="28"/>
        </w:rPr>
        <w:t>и проценты, начисленные</w:t>
      </w:r>
      <w:r>
        <w:rPr>
          <w:sz w:val="28"/>
          <w:szCs w:val="28"/>
        </w:rPr>
        <w:t xml:space="preserve"> в порядке ст. 395 ГК РФ за пользование чужими денежными средствами</w:t>
      </w:r>
      <w:r w:rsidR="008048E0">
        <w:rPr>
          <w:sz w:val="28"/>
          <w:szCs w:val="28"/>
        </w:rPr>
        <w:t>,</w:t>
      </w:r>
      <w:r>
        <w:rPr>
          <w:sz w:val="28"/>
          <w:szCs w:val="28"/>
        </w:rPr>
        <w:t xml:space="preserve"> за период с 16.03.2021г. по день фактической уплаты суммы </w:t>
      </w:r>
      <w:r w:rsidR="008048E0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И.И. в пользу СПК «ОК Мартовский», при</w:t>
      </w:r>
      <w:r>
        <w:rPr>
          <w:sz w:val="28"/>
          <w:szCs w:val="28"/>
        </w:rPr>
        <w:t xml:space="preserve"> этом размер процентов определяется </w:t>
      </w:r>
      <w:hyperlink r:id="rId5" w:history="1">
        <w:r w:rsidRPr="00892EE8">
          <w:rPr>
            <w:color w:val="auto"/>
            <w:sz w:val="28"/>
            <w:szCs w:val="28"/>
          </w:rPr>
          <w:t>ключевой ставкой</w:t>
        </w:r>
      </w:hyperlink>
      <w:r>
        <w:rPr>
          <w:sz w:val="28"/>
          <w:szCs w:val="28"/>
        </w:rPr>
        <w:t xml:space="preserve"> Банка России, действовавшей в соответствующие периоды.</w:t>
      </w:r>
    </w:p>
    <w:p w:rsidR="00892EE8" w:rsidRPr="00892EE8" w:rsidP="00892EE8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Мисниковой</w:t>
      </w:r>
      <w:r>
        <w:rPr>
          <w:sz w:val="28"/>
          <w:szCs w:val="28"/>
        </w:rPr>
        <w:t xml:space="preserve"> Ирины Ивановны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 xml:space="preserve">Садоводческого потребительского кооператива «ОК </w:t>
      </w:r>
      <w:r>
        <w:rPr>
          <w:sz w:val="28"/>
          <w:szCs w:val="28"/>
        </w:rPr>
        <w:t>Мартовский</w:t>
      </w:r>
      <w:r>
        <w:rPr>
          <w:sz w:val="28"/>
          <w:szCs w:val="28"/>
        </w:rPr>
        <w:t>» расходы на получение выписки из ЕГРН в размере 290 рублей, почтовые расходы в размере 145 рублей 64 коп., а также расходы по оплате государственной пошлины в размере 400 рублей.</w:t>
      </w:r>
      <w:r w:rsidRPr="00CA58F3">
        <w:rPr>
          <w:sz w:val="28"/>
          <w:szCs w:val="28"/>
        </w:rPr>
        <w:t xml:space="preserve">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CA58F3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670231" w:rsidP="009A290F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923495" w:rsidP="009A290F">
      <w:pPr>
        <w:pStyle w:val="NoSpacing"/>
        <w:jc w:val="both"/>
        <w:rPr>
          <w:sz w:val="28"/>
          <w:szCs w:val="28"/>
          <w:lang w:eastAsia="ru-RU"/>
        </w:rPr>
      </w:pPr>
      <w:r w:rsidRPr="00CA58F3">
        <w:rPr>
          <w:sz w:val="28"/>
          <w:szCs w:val="28"/>
          <w:lang w:eastAsia="ru-RU"/>
        </w:rPr>
        <w:t xml:space="preserve">        Решение может быть обжаловано </w:t>
      </w:r>
      <w:r w:rsidRPr="00CA58F3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CA58F3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E93ACD" w:rsidRPr="00E7352D" w:rsidP="009A290F">
      <w:pPr>
        <w:pStyle w:val="NoSpacing"/>
        <w:jc w:val="both"/>
        <w:rPr>
          <w:color w:val="auto"/>
          <w:sz w:val="28"/>
          <w:szCs w:val="28"/>
        </w:rPr>
      </w:pPr>
      <w:r w:rsidRPr="00E7352D">
        <w:rPr>
          <w:color w:val="auto"/>
          <w:sz w:val="28"/>
          <w:szCs w:val="28"/>
          <w:lang w:eastAsia="ru-RU"/>
        </w:rPr>
        <w:t xml:space="preserve">         Мотивированное решение составлено </w:t>
      </w:r>
      <w:r w:rsidRPr="00E7352D" w:rsidR="00E7352D">
        <w:rPr>
          <w:color w:val="auto"/>
          <w:sz w:val="28"/>
          <w:szCs w:val="28"/>
          <w:lang w:eastAsia="ru-RU"/>
        </w:rPr>
        <w:t>7</w:t>
      </w:r>
      <w:r w:rsidRPr="00E7352D">
        <w:rPr>
          <w:color w:val="auto"/>
          <w:sz w:val="28"/>
          <w:szCs w:val="28"/>
          <w:lang w:eastAsia="ru-RU"/>
        </w:rPr>
        <w:t>.10.2022г.</w:t>
      </w:r>
    </w:p>
    <w:p w:rsidR="00954FB7" w:rsidRPr="00B039DB" w:rsidP="00075B7C">
      <w:pPr>
        <w:pStyle w:val="NoSpacing"/>
        <w:jc w:val="both"/>
        <w:rPr>
          <w:sz w:val="16"/>
          <w:szCs w:val="16"/>
        </w:rPr>
      </w:pPr>
      <w:r w:rsidRPr="00B039DB">
        <w:rPr>
          <w:sz w:val="16"/>
          <w:szCs w:val="16"/>
        </w:rPr>
        <w:tab/>
      </w:r>
      <w:r w:rsidRPr="00B039DB">
        <w:rPr>
          <w:sz w:val="16"/>
          <w:szCs w:val="16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670231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A5ECB"/>
    <w:rsid w:val="000C70D1"/>
    <w:rsid w:val="000D5F72"/>
    <w:rsid w:val="001308B1"/>
    <w:rsid w:val="001457CC"/>
    <w:rsid w:val="0016588E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294E"/>
    <w:rsid w:val="002775AD"/>
    <w:rsid w:val="002A112F"/>
    <w:rsid w:val="002A585C"/>
    <w:rsid w:val="002A7232"/>
    <w:rsid w:val="002B5B42"/>
    <w:rsid w:val="002C2EB6"/>
    <w:rsid w:val="002F72C6"/>
    <w:rsid w:val="00301C69"/>
    <w:rsid w:val="00303C76"/>
    <w:rsid w:val="0030563B"/>
    <w:rsid w:val="00313F34"/>
    <w:rsid w:val="0031704A"/>
    <w:rsid w:val="003215CE"/>
    <w:rsid w:val="003423B2"/>
    <w:rsid w:val="003434A6"/>
    <w:rsid w:val="00365781"/>
    <w:rsid w:val="00381F7F"/>
    <w:rsid w:val="00382F85"/>
    <w:rsid w:val="00384036"/>
    <w:rsid w:val="00390FC9"/>
    <w:rsid w:val="00392FED"/>
    <w:rsid w:val="003945AB"/>
    <w:rsid w:val="00394D2E"/>
    <w:rsid w:val="003B3083"/>
    <w:rsid w:val="003B7A64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2E39"/>
    <w:rsid w:val="004848C0"/>
    <w:rsid w:val="004A1445"/>
    <w:rsid w:val="004D3A36"/>
    <w:rsid w:val="0050195C"/>
    <w:rsid w:val="00536B37"/>
    <w:rsid w:val="00546A73"/>
    <w:rsid w:val="00557213"/>
    <w:rsid w:val="0059260B"/>
    <w:rsid w:val="0059460A"/>
    <w:rsid w:val="005C1C8B"/>
    <w:rsid w:val="00603545"/>
    <w:rsid w:val="006161C7"/>
    <w:rsid w:val="006421CF"/>
    <w:rsid w:val="00661A32"/>
    <w:rsid w:val="00664D60"/>
    <w:rsid w:val="00670231"/>
    <w:rsid w:val="0068488A"/>
    <w:rsid w:val="00691EC8"/>
    <w:rsid w:val="006B1425"/>
    <w:rsid w:val="006B699A"/>
    <w:rsid w:val="006E4829"/>
    <w:rsid w:val="00702CEB"/>
    <w:rsid w:val="00707818"/>
    <w:rsid w:val="007234AF"/>
    <w:rsid w:val="0072720E"/>
    <w:rsid w:val="00767109"/>
    <w:rsid w:val="00784435"/>
    <w:rsid w:val="007855B7"/>
    <w:rsid w:val="007B1DEC"/>
    <w:rsid w:val="007B3082"/>
    <w:rsid w:val="007B6678"/>
    <w:rsid w:val="007C225D"/>
    <w:rsid w:val="007C32DA"/>
    <w:rsid w:val="007D25E1"/>
    <w:rsid w:val="007E0507"/>
    <w:rsid w:val="007E441A"/>
    <w:rsid w:val="007E596A"/>
    <w:rsid w:val="008048E0"/>
    <w:rsid w:val="00853591"/>
    <w:rsid w:val="00861E3A"/>
    <w:rsid w:val="00887176"/>
    <w:rsid w:val="00887914"/>
    <w:rsid w:val="00892EE8"/>
    <w:rsid w:val="008A0295"/>
    <w:rsid w:val="008A2CC6"/>
    <w:rsid w:val="008B17E5"/>
    <w:rsid w:val="0091542E"/>
    <w:rsid w:val="00923495"/>
    <w:rsid w:val="00924DA3"/>
    <w:rsid w:val="00954FB7"/>
    <w:rsid w:val="009554A5"/>
    <w:rsid w:val="009766E3"/>
    <w:rsid w:val="00986EB8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849E1"/>
    <w:rsid w:val="00AA580B"/>
    <w:rsid w:val="00AB0EFE"/>
    <w:rsid w:val="00AC7390"/>
    <w:rsid w:val="00AF1676"/>
    <w:rsid w:val="00B039DB"/>
    <w:rsid w:val="00B26765"/>
    <w:rsid w:val="00B52A85"/>
    <w:rsid w:val="00B67359"/>
    <w:rsid w:val="00B72FE4"/>
    <w:rsid w:val="00B824BD"/>
    <w:rsid w:val="00B84465"/>
    <w:rsid w:val="00B92FC6"/>
    <w:rsid w:val="00BB363D"/>
    <w:rsid w:val="00BC1BBC"/>
    <w:rsid w:val="00BE5597"/>
    <w:rsid w:val="00BF0F6B"/>
    <w:rsid w:val="00BF30AC"/>
    <w:rsid w:val="00C100B0"/>
    <w:rsid w:val="00C12AF0"/>
    <w:rsid w:val="00C41F57"/>
    <w:rsid w:val="00C43042"/>
    <w:rsid w:val="00C4587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03A0"/>
    <w:rsid w:val="00CC2FE1"/>
    <w:rsid w:val="00CF1C72"/>
    <w:rsid w:val="00D0619A"/>
    <w:rsid w:val="00D25655"/>
    <w:rsid w:val="00D34377"/>
    <w:rsid w:val="00D356E0"/>
    <w:rsid w:val="00D36E32"/>
    <w:rsid w:val="00D65F33"/>
    <w:rsid w:val="00D8258B"/>
    <w:rsid w:val="00D95E57"/>
    <w:rsid w:val="00DA649D"/>
    <w:rsid w:val="00DB208E"/>
    <w:rsid w:val="00DB57A2"/>
    <w:rsid w:val="00DD37E7"/>
    <w:rsid w:val="00E409F9"/>
    <w:rsid w:val="00E508CF"/>
    <w:rsid w:val="00E53E98"/>
    <w:rsid w:val="00E63807"/>
    <w:rsid w:val="00E6666C"/>
    <w:rsid w:val="00E7352D"/>
    <w:rsid w:val="00E76F8D"/>
    <w:rsid w:val="00E7764A"/>
    <w:rsid w:val="00E93ACD"/>
    <w:rsid w:val="00EB4A77"/>
    <w:rsid w:val="00EC398F"/>
    <w:rsid w:val="00ED78EB"/>
    <w:rsid w:val="00ED7A8F"/>
    <w:rsid w:val="00EF291B"/>
    <w:rsid w:val="00EF7517"/>
    <w:rsid w:val="00EF75E9"/>
    <w:rsid w:val="00F3240C"/>
    <w:rsid w:val="00F37912"/>
    <w:rsid w:val="00F45D97"/>
    <w:rsid w:val="00F515C0"/>
    <w:rsid w:val="00F6685E"/>
    <w:rsid w:val="00F74599"/>
    <w:rsid w:val="00F763A2"/>
    <w:rsid w:val="00F92B9F"/>
    <w:rsid w:val="00FA4FB5"/>
    <w:rsid w:val="00FA6351"/>
    <w:rsid w:val="00FC6C6F"/>
    <w:rsid w:val="00FD25C6"/>
    <w:rsid w:val="00FD43E8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CB03A0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CB03A0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1">
    <w:name w:val="Основной текст + Полужирный"/>
    <w:aliases w:val="Курсив"/>
    <w:uiPriority w:val="99"/>
    <w:rsid w:val="00CB03A0"/>
    <w:rPr>
      <w:rFonts w:ascii="Segoe UI" w:hAnsi="Segoe UI" w:cs="Segoe UI" w:hint="default"/>
      <w:b/>
      <w:bCs/>
      <w:sz w:val="20"/>
      <w:szCs w:val="20"/>
    </w:rPr>
  </w:style>
  <w:style w:type="character" w:customStyle="1" w:styleId="10">
    <w:name w:val="Основной текст + Полужирный1"/>
    <w:aliases w:val="Курсив1"/>
    <w:uiPriority w:val="99"/>
    <w:rsid w:val="00CB03A0"/>
    <w:rPr>
      <w:rFonts w:ascii="Times New Roman" w:hAnsi="Times New Roman" w:cs="Times New Roman" w:hint="default"/>
      <w:b/>
      <w:bCs/>
      <w:i/>
      <w:iCs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254E5010743496FCDF586F84481D19B87670C1AC760E1FE2FB8BDE1196C67A4A9916141DB122EF2BEFF8F6939D6CBA2E60DE286B883AD4Cg5p1I" TargetMode="External" /><Relationship Id="rId11" Type="http://schemas.openxmlformats.org/officeDocument/2006/relationships/hyperlink" Target="consultantplus://offline/ref=E254E5010743496FCDF586F84481D19B87670C1AC760E1FE2FB8BDE1196C67A4A9916141DB122EFCB2FF8F6939D6CBA2E60DE286B883AD4Cg5p1I" TargetMode="External" /><Relationship Id="rId12" Type="http://schemas.openxmlformats.org/officeDocument/2006/relationships/hyperlink" Target="consultantplus://offline/ref=E254E5010743496FCDF586F84481D19B87670C1AC760E1FE2FB8BDE1196C67A4A9916141DB122EFDBAFF8F6939D6CBA2E60DE286B883AD4Cg5p1I" TargetMode="External" /><Relationship Id="rId13" Type="http://schemas.openxmlformats.org/officeDocument/2006/relationships/hyperlink" Target="consultantplus://offline/ref=E254E5010743496FCDF586F84481D19B87670C1AC760E1FE2FB8BDE1196C67A4A9916141DB122DF4BFFF8F6939D6CBA2E60DE286B883AD4Cg5p1I" TargetMode="External" /><Relationship Id="rId14" Type="http://schemas.openxmlformats.org/officeDocument/2006/relationships/hyperlink" Target="consultantplus://offline/ref=E254E5010743496FCDF586F84481D19B87670C1AC760E1FE2FB8BDE1196C67A4A9916141DB122DF4BCFF8F6939D6CBA2E60DE286B883AD4Cg5p1I" TargetMode="External" /><Relationship Id="rId15" Type="http://schemas.openxmlformats.org/officeDocument/2006/relationships/hyperlink" Target="consultantplus://offline/ref=4175FF8D9195CED606A06EBE83ED528812D34E616679F65E766A02F301A7F545B2982C14BC82F674179ADE816E498BCDA1B550E035AC225AX9C7K" TargetMode="External" /><Relationship Id="rId16" Type="http://schemas.openxmlformats.org/officeDocument/2006/relationships/hyperlink" Target="consultantplus://offline/ref=4175FF8D9195CED606A06EBE83ED528812D34E616679F65E766A02F301A7F545B2982C14BC82F77E169ADE816E498BCDA1B550E035AC225AX9C7K" TargetMode="External" /><Relationship Id="rId17" Type="http://schemas.openxmlformats.org/officeDocument/2006/relationships/hyperlink" Target="consultantplus://offline/ref=4175FF8D9195CED606A06EBE83ED528812D34E616679F65E766A02F301A7F545B2982C14BC82F77F1E9ADE816E498BCDA1B550E035AC225AX9C7K" TargetMode="External" /><Relationship Id="rId18" Type="http://schemas.openxmlformats.org/officeDocument/2006/relationships/hyperlink" Target="consultantplus://offline/ref=4175FF8D9195CED606A06EBE83ED528812D34E616679F65E766A02F301A7F545B2982C14BC82F4761B9ADE816E498BCDA1B550E035AC225AX9C7K" TargetMode="External" /><Relationship Id="rId19" Type="http://schemas.openxmlformats.org/officeDocument/2006/relationships/hyperlink" Target="consultantplus://offline/ref=4175FF8D9195CED606A06EBE83ED528812D34E616679F65E766A02F301A7F545B2982C14BC82F476189ADE816E498BCDA1B550E035AC225AX9C7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CA770BF96A26D81D49A4BBE20DD640BD3FFC1337AFD53826360A506CE1F373632E9C741630356CFC79584CB7448ADB9BDA32DDFF30B36FEB2NBL" TargetMode="External" /><Relationship Id="rId21" Type="http://schemas.openxmlformats.org/officeDocument/2006/relationships/hyperlink" Target="consultantplus://offline/ref=5E2EE4BE4DD5D2ED888764E6B9BE7F8A0FEA5CE365D00A7ED9D78C15684E75A172A6E90BD1D4CAB9E1B6CDAAC805C5CF16EF6BD375A7C819gAn1K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CBF49959CDCA5C6A17579206E29E397063D79997134B448B51C9C4BD47AD6890BB889D447DEC1020EC1FAF9C7FC5276E21AA7CAB72B83nBhAJ" TargetMode="External" /><Relationship Id="rId6" Type="http://schemas.openxmlformats.org/officeDocument/2006/relationships/hyperlink" Target="consultantplus://offline/ref=2CC5517DB351F6CDECCA0D81475A257373AC926D2B4D4035F26939661CC0981634A7F8E2EEBClDHBJ" TargetMode="External" /><Relationship Id="rId7" Type="http://schemas.openxmlformats.org/officeDocument/2006/relationships/hyperlink" Target="consultantplus://offline/ref=E254E5010743496FCDF586F84481D19B87670C1AC760E1FE2FB8BDE1196C67A4A9916141DB122EF6B8FF8F6939D6CBA2E60DE286B883AD4Cg5p1I" TargetMode="External" /><Relationship Id="rId8" Type="http://schemas.openxmlformats.org/officeDocument/2006/relationships/hyperlink" Target="file:///\\172.16.30.200\share_20\1%20&#1043;&#1088;&#1072;&#1078;&#1076;&#1072;&#1085;&#1082;&#1072;\&#1056;&#1045;&#1064;&#1045;&#1053;&#1048;&#1071;\&#1042;&#1079;&#1099;&#1089;&#1082;&#1072;&#1085;&#1080;&#1077;%20&#1089;&#1091;&#1084;&#1084;&#1099;\&#1051;&#1077;&#1089;&#1085;&#1086;&#1077;-&#1057;&#1072;&#1084;&#1086;&#1081;&#1083;&#1086;&#1074;&#1072;%20&#1074;&#1079;&#1085;&#1086;&#1089;&#1099;%20&#1055;&#1054;&#1051;&#1053;&#1054;&#1045;.docx" TargetMode="External" /><Relationship Id="rId9" Type="http://schemas.openxmlformats.org/officeDocument/2006/relationships/hyperlink" Target="consultantplus://offline/ref=E254E5010743496FCDF586F84481D19B87670C1AC760E1FE2FB8BDE1196C67A4A9916141DB122EF0BFFF8F6939D6CBA2E60DE286B883AD4Cg5p1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31FBF-D276-4976-9EEA-149216A9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