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16AD2">
        <w:rPr>
          <w:rFonts w:ascii="Times New Roman" w:hAnsi="Times New Roman" w:cs="Times New Roman"/>
          <w:sz w:val="28"/>
          <w:szCs w:val="28"/>
        </w:rPr>
        <w:t>016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916AD2">
        <w:rPr>
          <w:rFonts w:ascii="Times New Roman" w:hAnsi="Times New Roman" w:cs="Times New Roman"/>
          <w:sz w:val="28"/>
          <w:szCs w:val="28"/>
        </w:rPr>
        <w:t>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16AD2">
        <w:rPr>
          <w:rFonts w:ascii="Times New Roman" w:hAnsi="Times New Roman" w:cs="Times New Roman"/>
          <w:sz w:val="28"/>
          <w:szCs w:val="28"/>
        </w:rPr>
        <w:t>3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916AD2">
        <w:rPr>
          <w:sz w:val="28"/>
          <w:szCs w:val="28"/>
        </w:rPr>
        <w:t>10 февраля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916AD2">
        <w:rPr>
          <w:sz w:val="28"/>
          <w:szCs w:val="28"/>
        </w:rPr>
        <w:t xml:space="preserve">Кольцовой </w:t>
      </w:r>
      <w:r w:rsidR="00D1287E">
        <w:rPr>
          <w:sz w:val="28"/>
          <w:szCs w:val="28"/>
        </w:rPr>
        <w:t>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16AD2">
        <w:rPr>
          <w:sz w:val="28"/>
          <w:szCs w:val="28"/>
        </w:rPr>
        <w:t>ООО У</w:t>
      </w:r>
      <w:r w:rsidR="00916AD2">
        <w:rPr>
          <w:sz w:val="28"/>
          <w:szCs w:val="28"/>
        </w:rPr>
        <w:t>К «</w:t>
      </w:r>
      <w:r w:rsidR="00916AD2">
        <w:rPr>
          <w:sz w:val="28"/>
          <w:szCs w:val="28"/>
        </w:rPr>
        <w:t>Владоград</w:t>
      </w:r>
      <w:r w:rsidR="00916AD2">
        <w:rPr>
          <w:sz w:val="28"/>
          <w:szCs w:val="28"/>
        </w:rPr>
        <w:t xml:space="preserve"> Комфорт» к </w:t>
      </w:r>
      <w:r w:rsidR="00916AD2">
        <w:rPr>
          <w:sz w:val="28"/>
          <w:szCs w:val="28"/>
        </w:rPr>
        <w:t>Дорогину</w:t>
      </w:r>
      <w:r w:rsidR="00916AD2">
        <w:rPr>
          <w:sz w:val="28"/>
          <w:szCs w:val="28"/>
        </w:rPr>
        <w:t xml:space="preserve"> Андрею Владимировичу о взыскании задолженности по оплате за жилое помещение и коммунальные услуги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AF2C09">
        <w:rPr>
          <w:sz w:val="28"/>
          <w:szCs w:val="28"/>
        </w:rPr>
        <w:t>ООО УК «</w:t>
      </w:r>
      <w:r w:rsidR="00AF2C09">
        <w:rPr>
          <w:sz w:val="28"/>
          <w:szCs w:val="28"/>
        </w:rPr>
        <w:t>Владоград</w:t>
      </w:r>
      <w:r w:rsidR="00AF2C09">
        <w:rPr>
          <w:sz w:val="28"/>
          <w:szCs w:val="28"/>
        </w:rPr>
        <w:t xml:space="preserve"> Комфорт» к </w:t>
      </w:r>
      <w:r w:rsidR="00AF2C09">
        <w:rPr>
          <w:sz w:val="28"/>
          <w:szCs w:val="28"/>
        </w:rPr>
        <w:t>Дорогину</w:t>
      </w:r>
      <w:r w:rsidR="00AF2C09">
        <w:rPr>
          <w:sz w:val="28"/>
          <w:szCs w:val="28"/>
        </w:rPr>
        <w:t xml:space="preserve"> Андрею Владимировичу о взыскании задолженности по оплате за жилое помещение и коммунальные услуги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AF2C09">
        <w:rPr>
          <w:sz w:val="28"/>
          <w:szCs w:val="28"/>
        </w:rPr>
        <w:t>Дорогина</w:t>
      </w:r>
      <w:r w:rsidR="00AF2C09">
        <w:rPr>
          <w:sz w:val="28"/>
          <w:szCs w:val="28"/>
        </w:rPr>
        <w:t xml:space="preserve"> Андрея Владимировича (паспорт: </w:t>
      </w:r>
      <w:r w:rsidR="00133BB7">
        <w:t>&lt;данные изъяты&gt;</w:t>
      </w:r>
      <w:r w:rsidR="00AF2C09">
        <w:rPr>
          <w:sz w:val="28"/>
          <w:szCs w:val="28"/>
        </w:rPr>
        <w:t>)</w:t>
      </w:r>
      <w:r w:rsidRPr="008E696E" w:rsidR="00C41F57">
        <w:rPr>
          <w:color w:val="auto"/>
          <w:sz w:val="28"/>
          <w:szCs w:val="28"/>
        </w:rPr>
        <w:t xml:space="preserve"> в пользу </w:t>
      </w:r>
      <w:r w:rsidR="00AF2C09">
        <w:rPr>
          <w:sz w:val="28"/>
          <w:szCs w:val="28"/>
        </w:rPr>
        <w:t>ООО УК «</w:t>
      </w:r>
      <w:r w:rsidR="00AF2C09">
        <w:rPr>
          <w:sz w:val="28"/>
          <w:szCs w:val="28"/>
        </w:rPr>
        <w:t>Владоград</w:t>
      </w:r>
      <w:r w:rsidR="00AF2C09">
        <w:rPr>
          <w:sz w:val="28"/>
          <w:szCs w:val="28"/>
        </w:rPr>
        <w:t xml:space="preserve"> Комфорт» (ОГРН </w:t>
      </w:r>
      <w:r w:rsidR="00133BB7">
        <w:t>&lt;данные изъяты&gt;</w:t>
      </w:r>
      <w:r w:rsidR="00AF2C09">
        <w:rPr>
          <w:sz w:val="28"/>
          <w:szCs w:val="28"/>
        </w:rPr>
        <w:t>)</w:t>
      </w:r>
      <w:r w:rsidRPr="008E696E" w:rsidR="00B43F31">
        <w:rPr>
          <w:color w:val="auto"/>
          <w:sz w:val="28"/>
          <w:szCs w:val="28"/>
        </w:rPr>
        <w:t xml:space="preserve"> </w:t>
      </w:r>
      <w:r w:rsidRPr="008E696E" w:rsidR="0058415B">
        <w:rPr>
          <w:color w:val="auto"/>
          <w:sz w:val="28"/>
          <w:szCs w:val="28"/>
        </w:rPr>
        <w:t xml:space="preserve">сумму </w:t>
      </w:r>
      <w:r w:rsidRPr="008E696E" w:rsidR="0093099D">
        <w:rPr>
          <w:color w:val="auto"/>
          <w:sz w:val="28"/>
          <w:szCs w:val="28"/>
        </w:rPr>
        <w:t xml:space="preserve">задолженности </w:t>
      </w:r>
      <w:r w:rsidR="00F97667">
        <w:rPr>
          <w:sz w:val="28"/>
          <w:szCs w:val="28"/>
        </w:rPr>
        <w:t>по оплате за жилое помещение и коммунальные услуги по состоянию на 01.05.2022г.</w:t>
      </w:r>
      <w:r w:rsidRPr="008E696E" w:rsidR="006355AB">
        <w:rPr>
          <w:color w:val="auto"/>
          <w:sz w:val="28"/>
          <w:szCs w:val="28"/>
        </w:rPr>
        <w:t xml:space="preserve"> </w:t>
      </w:r>
      <w:r w:rsidR="008E696E">
        <w:rPr>
          <w:color w:val="auto"/>
          <w:sz w:val="28"/>
          <w:szCs w:val="28"/>
        </w:rPr>
        <w:t xml:space="preserve">в размере </w:t>
      </w:r>
      <w:r w:rsidR="00F97667">
        <w:rPr>
          <w:color w:val="auto"/>
          <w:sz w:val="28"/>
          <w:szCs w:val="28"/>
        </w:rPr>
        <w:t>46 658</w:t>
      </w:r>
      <w:r w:rsidR="008E696E">
        <w:rPr>
          <w:color w:val="auto"/>
          <w:sz w:val="28"/>
          <w:szCs w:val="28"/>
        </w:rPr>
        <w:t xml:space="preserve"> рублей </w:t>
      </w:r>
      <w:r w:rsidR="00F97667">
        <w:rPr>
          <w:color w:val="auto"/>
          <w:sz w:val="28"/>
          <w:szCs w:val="28"/>
        </w:rPr>
        <w:t>51</w:t>
      </w:r>
      <w:r w:rsidR="008E696E">
        <w:rPr>
          <w:color w:val="auto"/>
          <w:sz w:val="28"/>
          <w:szCs w:val="28"/>
        </w:rPr>
        <w:t xml:space="preserve"> коп</w:t>
      </w:r>
      <w:r w:rsidR="00F97667">
        <w:rPr>
          <w:color w:val="auto"/>
          <w:sz w:val="28"/>
          <w:szCs w:val="28"/>
        </w:rPr>
        <w:t>.</w:t>
      </w:r>
      <w:r w:rsidRPr="008E696E" w:rsidR="0093099D">
        <w:rPr>
          <w:color w:val="auto"/>
          <w:sz w:val="28"/>
          <w:szCs w:val="28"/>
        </w:rPr>
        <w:t>, а также расходы по оплате государственной</w:t>
      </w:r>
      <w:r w:rsidR="0093099D">
        <w:rPr>
          <w:sz w:val="28"/>
          <w:szCs w:val="28"/>
        </w:rPr>
        <w:t xml:space="preserve"> пошлины </w:t>
      </w:r>
      <w:r w:rsidR="008E696E">
        <w:rPr>
          <w:color w:val="auto"/>
          <w:sz w:val="28"/>
          <w:szCs w:val="28"/>
        </w:rPr>
        <w:t xml:space="preserve">в размере </w:t>
      </w:r>
      <w:r w:rsidR="00F97667">
        <w:rPr>
          <w:sz w:val="28"/>
          <w:szCs w:val="28"/>
        </w:rPr>
        <w:t xml:space="preserve">1 599 </w:t>
      </w:r>
      <w:r w:rsidR="008E696E">
        <w:rPr>
          <w:sz w:val="28"/>
          <w:szCs w:val="28"/>
        </w:rPr>
        <w:t xml:space="preserve">рублей </w:t>
      </w:r>
      <w:r w:rsidR="00F97667">
        <w:rPr>
          <w:sz w:val="28"/>
          <w:szCs w:val="28"/>
        </w:rPr>
        <w:t>76</w:t>
      </w:r>
      <w:r w:rsidR="008E696E">
        <w:rPr>
          <w:sz w:val="28"/>
          <w:szCs w:val="28"/>
        </w:rPr>
        <w:t xml:space="preserve"> коп</w:t>
      </w:r>
      <w:r w:rsidR="00236329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F97667">
      <w:pgSz w:w="11906" w:h="16838"/>
      <w:pgMar w:top="851" w:right="424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33BB7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36329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3EA4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5AB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8E696E"/>
    <w:rsid w:val="0090653D"/>
    <w:rsid w:val="0091542E"/>
    <w:rsid w:val="00916AD2"/>
    <w:rsid w:val="00923495"/>
    <w:rsid w:val="00924DA3"/>
    <w:rsid w:val="0093099D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F2C09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36BFD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4D37"/>
    <w:rsid w:val="00F37912"/>
    <w:rsid w:val="00F45D97"/>
    <w:rsid w:val="00F515C0"/>
    <w:rsid w:val="00F6685E"/>
    <w:rsid w:val="00F763A2"/>
    <w:rsid w:val="00F97667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6FA8-D109-4896-9F64-1F518F1C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