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D45C3E">
        <w:rPr>
          <w:rFonts w:ascii="Times New Roman" w:hAnsi="Times New Roman" w:cs="Times New Roman"/>
          <w:sz w:val="28"/>
          <w:szCs w:val="28"/>
        </w:rPr>
        <w:t>396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D45C3E">
        <w:rPr>
          <w:sz w:val="28"/>
          <w:szCs w:val="28"/>
        </w:rPr>
        <w:t>23 июня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936FFE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936FFE">
        <w:rPr>
          <w:sz w:val="28"/>
          <w:szCs w:val="28"/>
        </w:rPr>
        <w:t>Бошкове</w:t>
      </w:r>
      <w:r w:rsidR="00936FFE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0B6199">
        <w:rPr>
          <w:sz w:val="28"/>
          <w:szCs w:val="28"/>
          <w:shd w:val="clear" w:color="auto" w:fill="FFFFFF"/>
          <w:lang w:eastAsia="ru-RU"/>
        </w:rPr>
        <w:t>АО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0B6199">
        <w:rPr>
          <w:sz w:val="28"/>
          <w:szCs w:val="28"/>
          <w:shd w:val="clear" w:color="auto" w:fill="FFFFFF"/>
          <w:lang w:eastAsia="ru-RU"/>
        </w:rPr>
        <w:t>ЦДУ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D45C3E">
        <w:rPr>
          <w:sz w:val="28"/>
          <w:szCs w:val="28"/>
          <w:shd w:val="clear" w:color="auto" w:fill="FFFFFF"/>
          <w:lang w:eastAsia="ru-RU"/>
        </w:rPr>
        <w:t>Артёменко Дмитрию Владимировичу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45C3E">
        <w:rPr>
          <w:sz w:val="28"/>
          <w:szCs w:val="28"/>
          <w:shd w:val="clear" w:color="auto" w:fill="FFFFFF"/>
          <w:lang w:eastAsia="ru-RU"/>
        </w:rPr>
        <w:t>АО ПКО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«ЦДУ»  к Артёменко Дмитрию Владимировичу 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45C3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Артёменко Дмитрия Владимировича (паспорт РФ </w:t>
      </w:r>
      <w:r w:rsidR="00284A21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7321E8">
        <w:rPr>
          <w:sz w:val="28"/>
          <w:szCs w:val="28"/>
          <w:shd w:val="clear" w:color="auto" w:fill="FFFFFF"/>
          <w:lang w:eastAsia="ru-RU"/>
        </w:rPr>
        <w:t>АО</w:t>
      </w:r>
      <w:r w:rsidRPr="00E65804" w:rsidR="007321E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="007321E8">
        <w:rPr>
          <w:sz w:val="28"/>
          <w:szCs w:val="28"/>
          <w:shd w:val="clear" w:color="auto" w:fill="FFFFFF"/>
          <w:lang w:eastAsia="ru-RU"/>
        </w:rPr>
        <w:t xml:space="preserve"> «ЦДУ»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- 14 924 рубля</w:t>
      </w:r>
      <w:r w:rsidR="00314052">
        <w:rPr>
          <w:sz w:val="28"/>
          <w:szCs w:val="28"/>
        </w:rPr>
        <w:t xml:space="preserve">, почтовые расходы – </w:t>
      </w:r>
      <w:r w:rsidR="00D45C3E">
        <w:rPr>
          <w:sz w:val="28"/>
          <w:szCs w:val="28"/>
        </w:rPr>
        <w:t>314</w:t>
      </w:r>
      <w:r w:rsidR="00314052">
        <w:rPr>
          <w:sz w:val="28"/>
          <w:szCs w:val="28"/>
        </w:rPr>
        <w:t xml:space="preserve"> рубл</w:t>
      </w:r>
      <w:r w:rsidR="00AC5F07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4</w:t>
      </w:r>
      <w:r w:rsidR="00314052">
        <w:rPr>
          <w:sz w:val="28"/>
          <w:szCs w:val="28"/>
        </w:rPr>
        <w:t xml:space="preserve">0 копеек,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от лиц, участвующих в деле, их представителей </w:t>
      </w:r>
      <w:r w:rsidRPr="00E65804">
        <w:rPr>
          <w:color w:val="auto"/>
          <w:sz w:val="28"/>
          <w:szCs w:val="28"/>
          <w:shd w:val="clear" w:color="auto" w:fill="FFFFFF"/>
        </w:rPr>
        <w:t>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B619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84A21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87DD7"/>
    <w:rsid w:val="0059460A"/>
    <w:rsid w:val="005C1C8B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7D7D47"/>
    <w:rsid w:val="008009DB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E632-9669-4CEE-BB80-C14E6AAD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