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Pr="00A5088B" w:rsidR="00295672">
        <w:rPr>
          <w:b/>
          <w:sz w:val="27"/>
          <w:szCs w:val="27"/>
        </w:rPr>
        <w:t>0</w:t>
      </w:r>
      <w:r w:rsidR="00B9434B">
        <w:rPr>
          <w:b/>
          <w:sz w:val="27"/>
          <w:szCs w:val="27"/>
        </w:rPr>
        <w:t>7</w:t>
      </w:r>
      <w:r w:rsidR="00A4771B">
        <w:rPr>
          <w:b/>
          <w:sz w:val="27"/>
          <w:szCs w:val="27"/>
        </w:rPr>
        <w:t>69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ЗАОЧНОЕ </w:t>
      </w:r>
      <w:r w:rsidRPr="00A5088B" w:rsidR="00D35541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4771B">
        <w:rPr>
          <w:sz w:val="27"/>
          <w:szCs w:val="27"/>
        </w:rPr>
        <w:t>25</w:t>
      </w:r>
      <w:r w:rsidR="00B9434B">
        <w:rPr>
          <w:sz w:val="27"/>
          <w:szCs w:val="27"/>
        </w:rPr>
        <w:t xml:space="preserve"> июня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E23A90">
        <w:rPr>
          <w:sz w:val="28"/>
          <w:szCs w:val="28"/>
        </w:rPr>
        <w:t>«ФИО»</w:t>
      </w:r>
      <w:r w:rsidR="00A4771B">
        <w:rPr>
          <w:sz w:val="28"/>
          <w:szCs w:val="28"/>
        </w:rPr>
        <w:t xml:space="preserve">,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2</w:t>
      </w:r>
      <w:r w:rsidR="00E23A90">
        <w:rPr>
          <w:sz w:val="28"/>
          <w:szCs w:val="28"/>
        </w:rPr>
        <w:t>»</w:t>
      </w:r>
      <w:r w:rsidR="00A4771B">
        <w:rPr>
          <w:sz w:val="28"/>
          <w:szCs w:val="28"/>
        </w:rPr>
        <w:t xml:space="preserve">,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3</w:t>
      </w:r>
      <w:r w:rsidR="00E23A90">
        <w:rPr>
          <w:sz w:val="28"/>
          <w:szCs w:val="28"/>
        </w:rPr>
        <w:t>»</w:t>
      </w:r>
      <w:r w:rsidR="00A4771B">
        <w:rPr>
          <w:sz w:val="28"/>
          <w:szCs w:val="28"/>
        </w:rPr>
        <w:t xml:space="preserve">,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4</w:t>
      </w:r>
      <w:r w:rsidR="00E23A90">
        <w:rPr>
          <w:sz w:val="28"/>
          <w:szCs w:val="28"/>
        </w:rPr>
        <w:t>»</w:t>
      </w:r>
      <w:r w:rsidR="00A4771B">
        <w:rPr>
          <w:sz w:val="27"/>
          <w:szCs w:val="27"/>
        </w:rPr>
        <w:t>,</w:t>
      </w:r>
      <w:r w:rsidR="005D748E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3A90">
        <w:rPr>
          <w:sz w:val="28"/>
          <w:szCs w:val="28"/>
        </w:rPr>
        <w:t>«ФИО», «ФИО2», «ФИО3», «ФИО4»</w:t>
      </w:r>
      <w:r w:rsidR="00DB58E3">
        <w:rPr>
          <w:sz w:val="27"/>
          <w:szCs w:val="27"/>
        </w:rPr>
        <w:t>.</w:t>
      </w:r>
      <w:r w:rsidRPr="005D748E" w:rsidR="005D748E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>о</w:t>
      </w:r>
      <w:r w:rsidRPr="0030064D" w:rsidR="0030064D">
        <w:rPr>
          <w:sz w:val="27"/>
          <w:szCs w:val="27"/>
        </w:rPr>
        <w:t xml:space="preserve">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="00E23A90">
        <w:rPr>
          <w:sz w:val="28"/>
          <w:szCs w:val="28"/>
        </w:rPr>
        <w:t>«ФИО»</w:t>
      </w:r>
      <w:r w:rsidR="00B9434B">
        <w:rPr>
          <w:bCs/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06271D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</w:t>
      </w:r>
      <w:r w:rsidR="00DB58E3">
        <w:rPr>
          <w:sz w:val="27"/>
          <w:szCs w:val="27"/>
        </w:rPr>
        <w:t>«данные изъяты»</w:t>
      </w:r>
      <w:r w:rsidR="00651EE0">
        <w:rPr>
          <w:sz w:val="27"/>
          <w:szCs w:val="27"/>
        </w:rPr>
        <w:t>.</w:t>
      </w:r>
      <w:r w:rsidRPr="00B9434B" w:rsidR="00B9434B">
        <w:rPr>
          <w:sz w:val="27"/>
          <w:szCs w:val="27"/>
        </w:rPr>
        <w:t xml:space="preserve"> </w:t>
      </w:r>
      <w:r w:rsidRPr="003351E5" w:rsidR="003351E5">
        <w:rPr>
          <w:sz w:val="27"/>
          <w:szCs w:val="27"/>
        </w:rPr>
        <w:t xml:space="preserve"> </w:t>
      </w:r>
    </w:p>
    <w:p w:rsidR="0008326E" w:rsidP="0006271D">
      <w:pPr>
        <w:spacing w:line="276" w:lineRule="auto"/>
        <w:ind w:right="-45" w:firstLine="708"/>
        <w:jc w:val="both"/>
        <w:rPr>
          <w:sz w:val="28"/>
          <w:szCs w:val="28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2</w:t>
      </w:r>
      <w:r w:rsidR="00E23A90">
        <w:rPr>
          <w:sz w:val="28"/>
          <w:szCs w:val="28"/>
        </w:rPr>
        <w:t>»</w:t>
      </w:r>
      <w:r>
        <w:rPr>
          <w:bCs/>
          <w:sz w:val="27"/>
          <w:szCs w:val="27"/>
        </w:rPr>
        <w:t xml:space="preserve">,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>
        <w:rPr>
          <w:sz w:val="27"/>
          <w:szCs w:val="27"/>
        </w:rPr>
        <w:t xml:space="preserve">за период </w:t>
      </w:r>
      <w:r>
        <w:rPr>
          <w:sz w:val="27"/>
          <w:szCs w:val="27"/>
        </w:rPr>
        <w:t>«данные изъяты»</w:t>
      </w:r>
      <w:r>
        <w:rPr>
          <w:sz w:val="28"/>
          <w:szCs w:val="28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8"/>
          <w:szCs w:val="28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3</w:t>
      </w:r>
      <w:r w:rsidR="00E23A90">
        <w:rPr>
          <w:sz w:val="28"/>
          <w:szCs w:val="28"/>
        </w:rPr>
        <w:t>»</w:t>
      </w:r>
      <w:r>
        <w:rPr>
          <w:bCs/>
          <w:sz w:val="27"/>
          <w:szCs w:val="27"/>
        </w:rPr>
        <w:t xml:space="preserve">,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>
        <w:rPr>
          <w:sz w:val="27"/>
          <w:szCs w:val="27"/>
        </w:rPr>
        <w:t xml:space="preserve">за период </w:t>
      </w:r>
      <w:r>
        <w:rPr>
          <w:sz w:val="27"/>
          <w:szCs w:val="27"/>
        </w:rPr>
        <w:t>«данные изъяты»</w:t>
      </w:r>
      <w:r>
        <w:rPr>
          <w:sz w:val="28"/>
          <w:szCs w:val="28"/>
        </w:rPr>
        <w:t>.</w:t>
      </w:r>
    </w:p>
    <w:p w:rsidR="0006271D" w:rsidRPr="0006271D" w:rsidP="0006271D">
      <w:pPr>
        <w:spacing w:line="276" w:lineRule="auto"/>
        <w:ind w:right="-45" w:firstLine="708"/>
        <w:jc w:val="both"/>
        <w:rPr>
          <w:sz w:val="28"/>
          <w:szCs w:val="28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="00E23A90">
        <w:rPr>
          <w:sz w:val="28"/>
          <w:szCs w:val="28"/>
        </w:rPr>
        <w:t>«ФИО</w:t>
      </w:r>
      <w:r w:rsidR="00E23A90">
        <w:rPr>
          <w:sz w:val="28"/>
          <w:szCs w:val="28"/>
        </w:rPr>
        <w:t>4</w:t>
      </w:r>
      <w:r w:rsidR="00E23A90">
        <w:rPr>
          <w:sz w:val="28"/>
          <w:szCs w:val="28"/>
        </w:rPr>
        <w:t>»</w:t>
      </w:r>
      <w:r>
        <w:rPr>
          <w:bCs/>
          <w:sz w:val="27"/>
          <w:szCs w:val="27"/>
        </w:rPr>
        <w:t xml:space="preserve">,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>
        <w:rPr>
          <w:sz w:val="27"/>
          <w:szCs w:val="27"/>
        </w:rPr>
        <w:t xml:space="preserve">за период </w:t>
      </w:r>
      <w:r>
        <w:rPr>
          <w:sz w:val="27"/>
          <w:szCs w:val="27"/>
        </w:rPr>
        <w:t>«данные изъяты»</w:t>
      </w:r>
      <w:r w:rsidR="00651EE0">
        <w:rPr>
          <w:sz w:val="27"/>
          <w:szCs w:val="27"/>
        </w:rPr>
        <w:t>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суда в части удовлетворенных исковых требований  в сумме </w:t>
      </w:r>
      <w:r w:rsidR="00651EE0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  к исполнению не приводить в связи с добровольной оплатой указанной суммы задолженности ответчиками.</w:t>
      </w:r>
    </w:p>
    <w:p w:rsidR="00B66BF9" w:rsidRPr="00A5088B" w:rsidP="0006271D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Взыскать солидарно с </w:t>
      </w:r>
      <w:r w:rsidR="00E23A90">
        <w:rPr>
          <w:sz w:val="28"/>
          <w:szCs w:val="28"/>
        </w:rPr>
        <w:t>«ФИО», «ФИО2», «ФИО3», «ФИО4»</w:t>
      </w:r>
      <w:r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="00651EE0">
        <w:rPr>
          <w:sz w:val="27"/>
          <w:szCs w:val="27"/>
        </w:rPr>
        <w:t>«данные изъяты»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DB58E3">
        <w:rPr>
          <w:sz w:val="27"/>
          <w:szCs w:val="27"/>
        </w:rPr>
        <w:t>«данные изъяты»</w:t>
      </w:r>
      <w:r w:rsidRPr="008C7D02">
        <w:rPr>
          <w:color w:val="000000"/>
          <w:sz w:val="27"/>
          <w:szCs w:val="27"/>
        </w:rPr>
        <w:t>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A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23A90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8A30-97F2-48F1-9D2E-A694C5DC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