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CBF" w:rsidP="003B5CBF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02-1473/21/2025</w:t>
      </w:r>
    </w:p>
    <w:p w:rsidR="003B5CBF" w:rsidP="003B5CBF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3B5CBF" w:rsidP="003B5CBF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3B5CBF" w:rsidP="003B5CBF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3B5CBF" w:rsidP="003B5CBF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октября 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3B5CBF" w:rsidP="003B5CBF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3B5CBF" w:rsidP="003B5CBF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3B5CBF" w:rsidP="003B5CBF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Ерохиной Ю.В., </w:t>
      </w:r>
    </w:p>
    <w:p w:rsidR="003B5CBF" w:rsidP="003B5CBF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2D1243" w:rsidR="002D1243">
        <w:rPr>
          <w:sz w:val="27"/>
          <w:szCs w:val="27"/>
        </w:rPr>
        <w:t>«ФИО»</w:t>
      </w:r>
      <w:r w:rsidR="002D1243">
        <w:rPr>
          <w:sz w:val="27"/>
          <w:szCs w:val="27"/>
        </w:rPr>
        <w:t xml:space="preserve"> </w:t>
      </w:r>
      <w:r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D1243" w:rsidR="002D1243">
        <w:rPr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2D1243" w:rsidR="002D1243">
        <w:rPr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6D0CB1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461717" w:rsidRPr="00461717" w:rsidP="00461717">
      <w:pPr>
        <w:spacing w:line="276" w:lineRule="auto"/>
        <w:ind w:right="-45" w:firstLine="708"/>
        <w:jc w:val="both"/>
        <w:rPr>
          <w:bCs/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Pr="002D1243" w:rsidR="002D1243">
        <w:rPr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461717" w:rsidP="00461717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государственную пошлину в размере «данные изъяты». 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2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2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D1243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22BE-C2C3-4FAC-8D67-9814F758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