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Дело №2-22-282/2020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фио,</w:t>
      </w:r>
    </w:p>
    <w:p w:rsidR="00A77B3E">
      <w:r>
        <w:t xml:space="preserve"> рассмотрев в открытом судебном заседании гражданское дело по иску    фио к фио о  взыскании  задолженности  по соглашению об оказании юридической помощи и процентов за пользование чужими денежными средствами,   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 фио к фио о  взыскании  задолженности  по соглашению об оказании юридических услуг  и процентов за пользование чужими денежными средствами  удовлетворить.  </w:t>
      </w:r>
    </w:p>
    <w:p w:rsidR="00A77B3E">
      <w:r>
        <w:t xml:space="preserve">      Взыскать с фио  в пользу   фио задолженность  по соглашению об оказании юридической помощи №37 от дата  в размере сумма, проценты  за пользование чужими денежными средствами за период с дата по дата в сумме сумма и госпошлину в размере 1033руб., а всего сумма (сумма прописью). 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