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№2-22-315/2018</w:t>
      </w:r>
    </w:p>
    <w:p w:rsidR="00A77B3E">
      <w:r>
        <w:t xml:space="preserve">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</w:t>
      </w:r>
    </w:p>
    <w:p w:rsidR="00A77B3E">
      <w:r>
        <w:t xml:space="preserve">   рассмотрев в открытом судебном заседании гражданское дело по иску  фио к наименование организации (наименование организации)  о защите прав потребителя, взыскании ущерба, причиненного в результате дорожно-транспортного происшествия, неустойки, штрафа, компенсации морального  вреда, судебных расходов,</w:t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   .  .  .</w:t>
      </w:r>
    </w:p>
    <w:p w:rsidR="00A77B3E">
      <w:r>
        <w:t xml:space="preserve">    Руководствуясь ст. ст. 194-199 ГПК РФ, мировой судья,</w:t>
      </w:r>
    </w:p>
    <w:p w:rsidR="00A77B3E">
      <w:r>
        <w:t xml:space="preserve">                                                                 Р Е Ш И Л:</w:t>
      </w:r>
    </w:p>
    <w:p w:rsidR="00A77B3E">
      <w:r>
        <w:t xml:space="preserve">     Иск  фио к наименование организации (наименование организации) о защите прав потребителя, взыскании ущерба, причиненного в результате дорожно-транспортного происшествия, неустойки, штрафа, компенсации морального  вреда, судебных расходов  удовлетворить частично.</w:t>
      </w:r>
    </w:p>
    <w:p w:rsidR="00A77B3E">
      <w:r>
        <w:t xml:space="preserve">     Взыскать с  наименование организации (наименование организации) в пользу фио  материальный ущерб, причиненный в результате дорожно-транспортного происшествия, имевшего место дата, в размере сумма (недоплаченная стоимость восстановительного ремонта автомобиля),  неустойку  за период с  дата  по  дата  в размере сумма,  штраф  в связи с неисполнением в добровольном порядке требования потерпевшего в  сумме 7250руб., расходы по оплате услуг независимой экспертизы в сумме 10000руб., компенсацию морального вреда в размере сумма, судебные расходы: на оплату услуг представителя в размере 5000руб., расходы по оформлению нотариально удостоверенной доверенности  на представителей в размере 1620руб., почтовые расходы в сумме  сумма, а всего  сумма (сумма прописью).</w:t>
      </w:r>
    </w:p>
    <w:p w:rsidR="00A77B3E">
      <w:r>
        <w:t xml:space="preserve">       Взыскать с наименование организации (наименование организации)     государственную пошлину в доход бюджета  Городского адрес в сумме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(г.адрес)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