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2-22-1411/2025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Общества ограниченной ответственностью «Управление городского хозяйства» к фио о взыскании задолженности по оплате за содержание и текущий ремонт общего имущества многоквартирного дома,  </w:t>
      </w:r>
    </w:p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 требования наименование организации к фио о взыскании задолженности по оплате за содержание и текущий ремонт общего имущества многоквартирного дома – удовлетворить.</w:t>
      </w:r>
    </w:p>
    <w:p w:rsidR="00A77B3E">
      <w:r>
        <w:t xml:space="preserve">          Взыскать с фио (паспортные данные)  в пользу наименование организации (ОГРН 1239100013570) задолженность по оплате за содержание и текущий ремонт общего имущества многоквартирного дома за период с дата по дата в размере сумма, а также  судебные расходы по оплате государственной пошлины в размере сумма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