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помощником судьи фио,</w:t>
      </w:r>
    </w:p>
    <w:p w:rsidR="00A77B3E">
      <w:r>
        <w:t>в отсутствие лиц, участвующих в деле:</w:t>
      </w:r>
    </w:p>
    <w:p w:rsidR="00A77B3E">
      <w:r>
        <w:t xml:space="preserve"> истца – фио;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фио к фио о взыскании задолженности по соглашению об оказании юридической помощи и процентов за пользование чужими денежными средствами,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фио к фио о взыскании задолженности по соглашению об оказании юридической помощи и процентов за пользование чужими денежными средствами удовлетворить в полном объеме .</w:t>
      </w:r>
    </w:p>
    <w:p w:rsidR="00A77B3E">
      <w:r>
        <w:t>Взыскать со фио (паспортные данные) в пользу фио (паспортные данные) задолженность по соглашению об оказании юридической помощи №17 от дата в сумме сумма, проценты за пользование чужими денежными средствами за период с дата по дата в сумме сумма, производя начисление процентов по дату фактического исполнения решения суда в соответствии с размером ключевой ставки Банка России, а также государственную пошлину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