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№02-23-142/2025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в отсутствие лиц, участвующих в деле:</w:t>
      </w:r>
    </w:p>
    <w:p w:rsidR="00A77B3E">
      <w:r>
        <w:t>представителя истца – наименование организации; ответчика – Селищева фио;</w:t>
      </w:r>
    </w:p>
    <w:p w:rsidR="00A77B3E">
      <w:r>
        <w:t>рассмотрев материалы дела по исковому заявлению наименование организации к Селищеву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Селищеву фио о взыскании задолженности по оплате взносов на капитальный ремонт общего имущества в многоквартирном доме удовлетворить.</w:t>
      </w:r>
    </w:p>
    <w:p w:rsidR="00A77B3E">
      <w:r>
        <w:t xml:space="preserve">Взыскать с Селищева фио (паспортные данные, зарегистрированного по адресу6 адрес 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сумма, сумма пени, а также сумма государственной пошлины за подачу искового заявления.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