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№02-23-192/2023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</w:t>
      </w:r>
      <w:r>
        <w:t xml:space="preserve">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организации, ответчика – </w:t>
      </w:r>
      <w:r>
        <w:t>фио</w:t>
      </w:r>
      <w:r>
        <w:t xml:space="preserve">; 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</w:t>
      </w:r>
      <w:r>
        <w:t>олженности по оплате взносов на капитальный ремонт общего имущества в многоквартирном доме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гражданки РФ, паспортные данные, зарегистрир</w:t>
      </w:r>
      <w:r>
        <w:t>ованной по адресу</w:t>
      </w:r>
      <w:r>
        <w:t>6</w:t>
      </w:r>
      <w:r>
        <w:t xml:space="preserve"> адрес) в пользу наименование организации (адрес, СИМФЕРОПОЛЬ 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</w:t>
      </w:r>
      <w:r>
        <w:t>м на капитальный ремонт общего имущества в многоквартирном доме за период с дата по дата в сумме сумма, пеню в сумме сумма, а также государственную пошлину в сумме сумма.</w:t>
      </w:r>
    </w:p>
    <w:p w:rsidR="00A77B3E">
      <w:r>
        <w:t>Реквизиты для перечисления взысканных сумм: р/с в наименование организации, БИК телеф</w:t>
      </w:r>
      <w:r>
        <w:t>он, к/с</w:t>
      </w:r>
      <w:r>
        <w:t xml:space="preserve">, на расчетный счет </w:t>
      </w:r>
      <w:r>
        <w:t xml:space="preserve"> в наименование организации (для зачисления на л/с</w:t>
      </w:r>
      <w:r>
        <w:t>).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</w:t>
      </w:r>
      <w:r>
        <w:t>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</w:t>
      </w:r>
      <w:r>
        <w:t xml:space="preserve">ированного решения суда в течение пятнадцати дней со дня объявления резолютивной части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</w:t>
      </w:r>
      <w:r>
        <w:t xml:space="preserve">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</w:t>
      </w:r>
      <w:r>
        <w:t>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00"/>
    <w:rsid w:val="00483A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